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7" w:rsidRPr="00BA3C86" w:rsidRDefault="00BA3C86" w:rsidP="00BA3C86">
      <w:pPr>
        <w:bidi w:val="0"/>
        <w:ind w:left="-284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مرحلة ثالثة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      </w:t>
      </w:r>
      <w:r w:rsidRPr="00BA3C86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Community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                </w:t>
      </w:r>
      <w:r w:rsidRPr="00280A5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د. نادية عفتان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</w:t>
      </w:r>
    </w:p>
    <w:p w:rsidR="00C65ADA" w:rsidRPr="001B148F" w:rsidRDefault="00C65ADA" w:rsidP="00C65ADA">
      <w:pPr>
        <w:jc w:val="center"/>
        <w:rPr>
          <w:rFonts w:ascii="Palatino-Bold" w:hAnsi="Palatino-Bold"/>
          <w:b/>
          <w:bCs/>
          <w:color w:val="231F20"/>
          <w:sz w:val="56"/>
          <w:szCs w:val="56"/>
          <w:rtl/>
          <w:lang w:bidi="ar-IQ"/>
        </w:rPr>
      </w:pPr>
      <w:r>
        <w:rPr>
          <w:rFonts w:ascii="Palatino-Bold" w:hAnsi="Palatino-Bold" w:cs="Palatino-Bold"/>
          <w:b/>
          <w:bCs/>
          <w:color w:val="231F20"/>
          <w:sz w:val="56"/>
          <w:szCs w:val="56"/>
        </w:rPr>
        <w:t>Ethics in Dentistry</w:t>
      </w:r>
    </w:p>
    <w:p w:rsidR="001B7A66" w:rsidRDefault="001B7A66" w:rsidP="00E757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31F20"/>
          <w:sz w:val="35"/>
          <w:szCs w:val="35"/>
        </w:rPr>
      </w:pPr>
      <w:bookmarkStart w:id="0" w:name="_GoBack"/>
      <w:bookmarkEnd w:id="0"/>
    </w:p>
    <w:p w:rsidR="00C65ADA" w:rsidRPr="001B148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40"/>
          <w:szCs w:val="40"/>
          <w:u w:val="single"/>
        </w:rPr>
      </w:pPr>
      <w:r w:rsidRPr="001B148F">
        <w:rPr>
          <w:rFonts w:asciiTheme="majorBidi" w:hAnsiTheme="majorBidi" w:cstheme="majorBidi"/>
          <w:b/>
          <w:bCs/>
          <w:color w:val="231F20"/>
          <w:sz w:val="40"/>
          <w:szCs w:val="40"/>
          <w:u w:val="single"/>
        </w:rPr>
        <w:t xml:space="preserve">Definition  </w:t>
      </w: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  <w:rtl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Ethics is defined as a branch of philosophy that deals with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thinking about morality, moral problems and moral judgments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31F20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31F20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231F20"/>
          <w:sz w:val="37"/>
          <w:szCs w:val="37"/>
          <w:u w:val="single"/>
        </w:rPr>
        <w:t>P</w:t>
      </w:r>
      <w:r>
        <w:rPr>
          <w:rFonts w:ascii="Helvetica,Bold" w:hAnsi="Helvetica,Bold" w:cs="Helvetica,Bold"/>
          <w:b/>
          <w:bCs/>
          <w:color w:val="231F20"/>
          <w:sz w:val="37"/>
          <w:szCs w:val="37"/>
          <w:u w:val="single"/>
        </w:rPr>
        <w:t xml:space="preserve">rinciples of ethics  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The principles of ethics are as follows: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1. Patient autonomy (self-governance)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 xml:space="preserve">2. </w:t>
      </w:r>
      <w:proofErr w:type="spellStart"/>
      <w:r w:rsidRPr="000A00AF">
        <w:rPr>
          <w:rFonts w:asciiTheme="majorBidi" w:hAnsiTheme="majorBidi" w:cstheme="majorBidi"/>
          <w:color w:val="231F20"/>
          <w:sz w:val="33"/>
          <w:szCs w:val="33"/>
        </w:rPr>
        <w:t>Nonmaleficence</w:t>
      </w:r>
      <w:proofErr w:type="spellEnd"/>
      <w:r w:rsidRPr="000A00AF">
        <w:rPr>
          <w:rFonts w:asciiTheme="majorBidi" w:hAnsiTheme="majorBidi" w:cstheme="majorBidi"/>
          <w:color w:val="231F20"/>
          <w:sz w:val="33"/>
          <w:szCs w:val="33"/>
        </w:rPr>
        <w:t xml:space="preserve"> (do no harm)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 xml:space="preserve">3. Beneficence (do </w:t>
      </w:r>
      <w:proofErr w:type="gramStart"/>
      <w:r w:rsidRPr="000A00AF">
        <w:rPr>
          <w:rFonts w:asciiTheme="majorBidi" w:hAnsiTheme="majorBidi" w:cstheme="majorBidi"/>
          <w:color w:val="231F20"/>
          <w:sz w:val="33"/>
          <w:szCs w:val="33"/>
        </w:rPr>
        <w:t>good</w:t>
      </w:r>
      <w:proofErr w:type="gramEnd"/>
      <w:r w:rsidRPr="000A00AF">
        <w:rPr>
          <w:rFonts w:asciiTheme="majorBidi" w:hAnsiTheme="majorBidi" w:cstheme="majorBidi"/>
          <w:color w:val="231F20"/>
          <w:sz w:val="33"/>
          <w:szCs w:val="33"/>
        </w:rPr>
        <w:t>)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4. Justice (fairness)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5. Veracity (truthfulness)</w:t>
      </w:r>
    </w:p>
    <w:p w:rsidR="00C65ADA" w:rsidRPr="000A00A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6. Fidelity</w:t>
      </w:r>
    </w:p>
    <w:p w:rsidR="00C65ADA" w:rsidRPr="000A00AF" w:rsidRDefault="00C65ADA" w:rsidP="00C65ADA">
      <w:pPr>
        <w:bidi w:val="0"/>
        <w:jc w:val="both"/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A00AF">
        <w:rPr>
          <w:rFonts w:asciiTheme="majorBidi" w:hAnsiTheme="majorBidi" w:cstheme="majorBidi"/>
          <w:color w:val="231F20"/>
          <w:sz w:val="33"/>
          <w:szCs w:val="33"/>
        </w:rPr>
        <w:t>7. Confidentiality.</w:t>
      </w: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 xml:space="preserve">1. </w:t>
      </w:r>
      <w:r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Patient a</w:t>
      </w: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utonomy (Self-governance)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It is based on the principle of respect for persons. Independent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actions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and choices of an individual should not be constrained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by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others and they should be respected. The dentist has a duty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to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respect the patient’s r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ights to self-determination and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confidentiality. Professionals have a duty to treat the patient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according to the patient’s needs, within the limits of accepted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treatment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, and to protect the patient’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s confidentiality. The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dentist’s primary obligation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s include involving patients in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treatment decisions in a meaning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ful way, with due consideration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being given to the patient’s needs,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desires and abilities, and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safeguarding the patient’s privacy.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90574E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2.</w:t>
      </w:r>
      <w:r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 xml:space="preserve"> </w:t>
      </w:r>
      <w:proofErr w:type="spellStart"/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Nonmaleficence</w:t>
      </w:r>
      <w:proofErr w:type="spellEnd"/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 xml:space="preserve"> (Do No Harm)</w:t>
      </w: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r w:rsidRPr="007F17D6">
        <w:rPr>
          <w:rFonts w:asciiTheme="majorBidi" w:hAnsiTheme="majorBidi" w:cstheme="majorBidi"/>
          <w:color w:val="231F20"/>
          <w:sz w:val="33"/>
          <w:szCs w:val="33"/>
        </w:rPr>
        <w:lastRenderedPageBreak/>
        <w:t>The dentist has a duty to refrain from harming the patient.</w:t>
      </w:r>
      <w:r>
        <w:rPr>
          <w:rFonts w:asciiTheme="majorBidi" w:hAnsiTheme="majorBidi" w:cstheme="majorBidi"/>
          <w:color w:val="231F20"/>
          <w:sz w:val="33"/>
          <w:szCs w:val="33"/>
        </w:rPr>
        <w:t xml:space="preserve"> </w:t>
      </w:r>
      <w:r w:rsidRPr="007F17D6">
        <w:rPr>
          <w:rFonts w:asciiTheme="majorBidi" w:hAnsiTheme="majorBidi" w:cstheme="majorBidi"/>
          <w:color w:val="231F20"/>
          <w:sz w:val="33"/>
          <w:szCs w:val="33"/>
        </w:rPr>
        <w:t>Professionals have a duty to protect the patient from harm.</w:t>
      </w:r>
      <w:r>
        <w:rPr>
          <w:rFonts w:asciiTheme="majorBidi" w:hAnsiTheme="majorBidi" w:cstheme="majorBidi"/>
          <w:color w:val="231F20"/>
          <w:sz w:val="33"/>
          <w:szCs w:val="33"/>
        </w:rPr>
        <w:t xml:space="preserve"> </w:t>
      </w:r>
      <w:r w:rsidRPr="007F17D6">
        <w:rPr>
          <w:rFonts w:asciiTheme="majorBidi" w:hAnsiTheme="majorBidi" w:cstheme="majorBidi"/>
          <w:color w:val="231F20"/>
          <w:sz w:val="33"/>
          <w:szCs w:val="33"/>
        </w:rPr>
        <w:t>The dentist’s primary obligations include keeping knowledge</w:t>
      </w:r>
      <w:r>
        <w:rPr>
          <w:rFonts w:asciiTheme="majorBidi" w:hAnsiTheme="majorBidi" w:cstheme="majorBidi"/>
          <w:color w:val="231F20"/>
          <w:sz w:val="33"/>
          <w:szCs w:val="33"/>
        </w:rPr>
        <w:t xml:space="preserve"> </w:t>
      </w:r>
      <w:r w:rsidRPr="007F17D6">
        <w:rPr>
          <w:rFonts w:asciiTheme="majorBidi" w:hAnsiTheme="majorBidi" w:cstheme="majorBidi"/>
          <w:color w:val="231F20"/>
          <w:sz w:val="33"/>
          <w:szCs w:val="33"/>
        </w:rPr>
        <w:t>and skills current, knowing one’s own limitations and when to</w:t>
      </w: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proofErr w:type="gramStart"/>
      <w:r w:rsidRPr="007F17D6">
        <w:rPr>
          <w:rFonts w:asciiTheme="majorBidi" w:hAnsiTheme="majorBidi" w:cstheme="majorBidi"/>
          <w:color w:val="231F20"/>
          <w:sz w:val="33"/>
          <w:szCs w:val="33"/>
        </w:rPr>
        <w:t>refer</w:t>
      </w:r>
      <w:proofErr w:type="gramEnd"/>
      <w:r w:rsidRPr="007F17D6">
        <w:rPr>
          <w:rFonts w:asciiTheme="majorBidi" w:hAnsiTheme="majorBidi" w:cstheme="majorBidi"/>
          <w:color w:val="231F20"/>
          <w:sz w:val="33"/>
          <w:szCs w:val="33"/>
        </w:rPr>
        <w:t xml:space="preserve"> to a specialist or other professional, and knowing when</w:t>
      </w: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3"/>
          <w:szCs w:val="33"/>
        </w:rPr>
      </w:pPr>
      <w:proofErr w:type="gramStart"/>
      <w:r w:rsidRPr="007F17D6">
        <w:rPr>
          <w:rFonts w:asciiTheme="majorBidi" w:hAnsiTheme="majorBidi" w:cstheme="majorBidi"/>
          <w:color w:val="231F20"/>
          <w:sz w:val="33"/>
          <w:szCs w:val="33"/>
        </w:rPr>
        <w:t>and</w:t>
      </w:r>
      <w:proofErr w:type="gramEnd"/>
      <w:r w:rsidRPr="007F17D6">
        <w:rPr>
          <w:rFonts w:asciiTheme="majorBidi" w:hAnsiTheme="majorBidi" w:cstheme="majorBidi"/>
          <w:color w:val="231F20"/>
          <w:sz w:val="33"/>
          <w:szCs w:val="33"/>
        </w:rPr>
        <w:t xml:space="preserve"> under what circumstances delegation of patient care to</w:t>
      </w:r>
      <w:r>
        <w:rPr>
          <w:rFonts w:asciiTheme="majorBidi" w:hAnsiTheme="majorBidi" w:cstheme="majorBidi"/>
          <w:color w:val="231F20"/>
          <w:sz w:val="33"/>
          <w:szCs w:val="33"/>
        </w:rPr>
        <w:t xml:space="preserve"> </w:t>
      </w:r>
      <w:r w:rsidRPr="007F17D6">
        <w:rPr>
          <w:rFonts w:asciiTheme="majorBidi" w:hAnsiTheme="majorBidi" w:cstheme="majorBidi"/>
          <w:color w:val="231F20"/>
          <w:sz w:val="33"/>
          <w:szCs w:val="33"/>
        </w:rPr>
        <w:t>auxiliaries is appropriate.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" w:hAnsi="Helvetica" w:cs="Helvetica"/>
          <w:color w:val="231F20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3. Beneficence (Do Good)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The dentist has a duty to promote the patient’s welfare.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This principle expresses the concept that professionals have a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duty to act for the benefit of others and the dentist’s primary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obligation is service to the patient and the public-at-large. The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most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important aspect of this obligation is the competent and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timely delivery of dental care within the bounds of clinical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circumstances presented by the patient, with due consideration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being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given to the needs, desires and values of the patient.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90574E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4. Justice (Fairness)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The dentist has a duty to treat people fairly. Principle of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truthfulness comprises dentist’s sincerity toward patients, truth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proofErr w:type="gram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telling</w:t>
      </w:r>
      <w:proofErr w:type="gram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, never deceiving. This principle expresses the concept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that professionals have a duty to be fair in their dealings with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patients, colleagues and society and the dentist’s primary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obligations include dealing with people justly and delivering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dental care without prejudice.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Accepting the principle of justice in contemporary ethics is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reflected in right to be treated. This right consists of three issues: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1. To be honest with patients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2. To give patients what they deserve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3. To give patients what they have right on.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90574E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5. Veracity (Truthfulness)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The dentist has a duty to communicate truthfully.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This principle expresses the concept that professionals have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a duty to be honest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lastRenderedPageBreak/>
        <w:t>and trustworthy in their dealings with people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and the dentist’s primary obligations include respecting the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position of trust inherent in the dentist-patient relationship,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communicating truthfully and without deception, and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maintaining intellectual integrity.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90574E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6. Fidelity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It is the obligation to keep implied or explicit promises.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90574E"/>
          <w:sz w:val="35"/>
          <w:szCs w:val="35"/>
        </w:rPr>
      </w:pPr>
    </w:p>
    <w:p w:rsidR="00C65ADA" w:rsidRPr="007F17D6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7F17D6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7. Confidentiality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Dental professionals have a legal and ethical duty to keep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patient information confidential. Principle of confidentiality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means that a dentist must be discrete. Confidentiality comprises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preservation of all information concerning patient, his/her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diseases and treatment.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Significance of confidentiality is in feeling of confidence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 patient has, in belief that his/her doctor is “silent” despite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everything heard or seen.</w:t>
      </w:r>
    </w:p>
    <w:p w:rsidR="00C65ADA" w:rsidRPr="001B148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  <w:rtl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It is the responsibility of dental professionals to treat any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information about patients as confidential and only use it in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the context in which it was given. Confidential information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should be kept in a secure place at all times to prevent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unauthorized or accidental disclosure.</w:t>
      </w:r>
    </w:p>
    <w:p w:rsidR="00C65ADA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</w:p>
    <w:p w:rsidR="00C65ADA" w:rsidRPr="001B148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</w:pPr>
      <w:r w:rsidRPr="001B148F">
        <w:rPr>
          <w:rFonts w:ascii="Helvetica,Bold" w:hAnsi="Helvetica,Bold" w:cs="Helvetica,Bold"/>
          <w:b/>
          <w:bCs/>
          <w:color w:val="000000" w:themeColor="text1"/>
          <w:sz w:val="37"/>
          <w:szCs w:val="37"/>
          <w:u w:val="single"/>
        </w:rPr>
        <w:t>Dentist-Patient Relationship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" w:hAnsi="Helvetica" w:cs="Helvetica"/>
          <w:color w:val="231F20"/>
          <w:sz w:val="35"/>
          <w:szCs w:val="35"/>
        </w:rPr>
      </w:pPr>
      <w:r w:rsidRPr="00681BFD">
        <w:rPr>
          <w:rFonts w:ascii="Helvetica" w:hAnsi="Helvetica" w:cs="Helvetica"/>
          <w:color w:val="231F20"/>
          <w:sz w:val="35"/>
          <w:szCs w:val="35"/>
        </w:rPr>
        <w:t>A Dentist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safeguard the health of patients irrespective of their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individual status.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not prescribe or provide treatment which is not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necessary.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Has the freedom of choice whether to accept or decline to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treat a patient, except for the provision of emergency care,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for humanitarian reasons.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obtain appropriate agreement or consent from the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patient for the treatment which is to be carried out. To this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end, information must be provided about the proposed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treatment,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lastRenderedPageBreak/>
        <w:t>other treatment options and relevant material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risks. The patient must have the opportunity to ask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questions. The patient should also be informed of the cost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of the proposed treatment, as soon as this is known.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ensure professional confidentiality and the security of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personal health information. Accurate, detailed and relevant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proofErr w:type="spellStart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medicodental</w:t>
      </w:r>
      <w:proofErr w:type="spellEnd"/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records must be kept and the dental staff must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be aware of the need for confidentiality. Data must be obtained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and processed fairly, for specified, explicit and legitimate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purposes and according to data protection principles.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keep all data relating to patients confidential and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secure. Where data is stored electronically special security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precautions must be taken to prevent access from outside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the premises during electronic transfer procedures or remote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maintenance of the system.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May not transmit data on patients to third parties except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when it is justified by the written consent of the patient or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where it is required under statutory provision. All data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passed on to third parties should be recorded as such.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accept responsibility for the treatment he undertakes,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within the framework of an undertaking to make best efforts.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refer for advice and/or treatment any patient requiring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a level of competence beyond his or her own. He is obliged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to refer a patient to a professional colleague for a second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opinion, if that is requested by the patient himself.</w:t>
      </w:r>
    </w:p>
    <w:p w:rsidR="00C65ADA" w:rsidRPr="00681BFD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provide to a patient, or his properly appointed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representative, information which is correct and does not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mislead.</w:t>
      </w:r>
    </w:p>
    <w:p w:rsidR="00C65ADA" w:rsidRPr="001B148F" w:rsidRDefault="00C65ADA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ouvenirITCbyBT-Light" w:hAnsi="SouvenirITCbyBT-Light" w:cs="SouvenirITCbyBT-Light"/>
          <w:color w:val="231F20"/>
          <w:sz w:val="33"/>
          <w:szCs w:val="33"/>
          <w:rtl/>
        </w:rPr>
      </w:pPr>
      <w:r w:rsidRPr="00681BFD">
        <w:rPr>
          <w:rFonts w:ascii="SouvenirITCbyBT-Light" w:hAnsi="SouvenirITCbyBT-Light" w:cs="SouvenirITCbyBT-Light"/>
          <w:color w:val="231F20"/>
          <w:sz w:val="33"/>
          <w:szCs w:val="33"/>
        </w:rPr>
        <w:t>• Must respond to patient complaints and try to resolve the</w:t>
      </w:r>
      <w:r>
        <w:rPr>
          <w:rFonts w:ascii="SouvenirITCbyBT-Light" w:hAnsi="SouvenirITCbyBT-Light" w:cs="SouvenirITCbyBT-Light"/>
          <w:color w:val="231F20"/>
          <w:sz w:val="33"/>
          <w:szCs w:val="33"/>
        </w:rPr>
        <w:t xml:space="preserve"> </w:t>
      </w:r>
      <w:r w:rsidRPr="001B148F">
        <w:rPr>
          <w:rFonts w:ascii="SouvenirITCbyBT-Light" w:hAnsi="SouvenirITCbyBT-Light" w:cs="SouvenirITCbyBT-Light"/>
          <w:color w:val="231F20"/>
          <w:sz w:val="35"/>
          <w:szCs w:val="35"/>
        </w:rPr>
        <w:t>issue.</w:t>
      </w:r>
    </w:p>
    <w:p w:rsidR="00C2051D" w:rsidRPr="00D51CBE" w:rsidRDefault="00C2051D" w:rsidP="00C65A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sectPr w:rsidR="00C2051D" w:rsidRPr="00D51CBE" w:rsidSect="00BD40E9">
      <w:headerReference w:type="default" r:id="rId9"/>
      <w:footerReference w:type="default" r:id="rId10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89" w:rsidRDefault="00854989" w:rsidP="00C101F7">
      <w:pPr>
        <w:spacing w:after="0" w:line="240" w:lineRule="auto"/>
      </w:pPr>
      <w:r>
        <w:separator/>
      </w:r>
    </w:p>
  </w:endnote>
  <w:endnote w:type="continuationSeparator" w:id="0">
    <w:p w:rsidR="00854989" w:rsidRDefault="00854989" w:rsidP="00C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venirITCbyB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693259"/>
      <w:docPartObj>
        <w:docPartGallery w:val="Page Numbers (Bottom of Page)"/>
        <w:docPartUnique/>
      </w:docPartObj>
    </w:sdtPr>
    <w:sdtEndPr/>
    <w:sdtContent>
      <w:p w:rsidR="004C6302" w:rsidRDefault="004C63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D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101F7" w:rsidRDefault="00C10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89" w:rsidRDefault="00854989" w:rsidP="00C101F7">
      <w:pPr>
        <w:spacing w:after="0" w:line="240" w:lineRule="auto"/>
      </w:pPr>
      <w:r>
        <w:separator/>
      </w:r>
    </w:p>
  </w:footnote>
  <w:footnote w:type="continuationSeparator" w:id="0">
    <w:p w:rsidR="00854989" w:rsidRDefault="00854989" w:rsidP="00C1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F7" w:rsidRDefault="00C101F7">
    <w:pPr>
      <w:pStyle w:val="Header"/>
      <w:rPr>
        <w:rtl/>
        <w:lang w:bidi="ar-IQ"/>
      </w:rPr>
    </w:pPr>
  </w:p>
  <w:p w:rsidR="00C101F7" w:rsidRDefault="00C101F7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7B9"/>
    <w:multiLevelType w:val="multilevel"/>
    <w:tmpl w:val="DFEE3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4799"/>
    <w:multiLevelType w:val="multilevel"/>
    <w:tmpl w:val="E5E4D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64D4A"/>
    <w:multiLevelType w:val="hybridMultilevel"/>
    <w:tmpl w:val="C3ECE7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0F7205"/>
    <w:multiLevelType w:val="multilevel"/>
    <w:tmpl w:val="E6B4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428A"/>
    <w:multiLevelType w:val="hybridMultilevel"/>
    <w:tmpl w:val="DBDC2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6C48"/>
    <w:multiLevelType w:val="multilevel"/>
    <w:tmpl w:val="CE9CD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0591"/>
    <w:multiLevelType w:val="hybridMultilevel"/>
    <w:tmpl w:val="71A2E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D5D8B"/>
    <w:multiLevelType w:val="multilevel"/>
    <w:tmpl w:val="BB1E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B53C8"/>
    <w:multiLevelType w:val="hybridMultilevel"/>
    <w:tmpl w:val="A86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53B41"/>
    <w:multiLevelType w:val="hybridMultilevel"/>
    <w:tmpl w:val="D582654C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CD3A3B"/>
    <w:multiLevelType w:val="multilevel"/>
    <w:tmpl w:val="6C2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B4"/>
    <w:multiLevelType w:val="multilevel"/>
    <w:tmpl w:val="3CBA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E4A0F"/>
    <w:multiLevelType w:val="hybridMultilevel"/>
    <w:tmpl w:val="DF60264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8641F3C"/>
    <w:multiLevelType w:val="multilevel"/>
    <w:tmpl w:val="0D4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041288"/>
    <w:multiLevelType w:val="multilevel"/>
    <w:tmpl w:val="2006F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D0E5C"/>
    <w:multiLevelType w:val="multilevel"/>
    <w:tmpl w:val="18A82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54DDC"/>
    <w:multiLevelType w:val="multilevel"/>
    <w:tmpl w:val="65946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F2672"/>
    <w:multiLevelType w:val="multilevel"/>
    <w:tmpl w:val="5414F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617D3"/>
    <w:multiLevelType w:val="hybridMultilevel"/>
    <w:tmpl w:val="2F9270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F2F285E"/>
    <w:multiLevelType w:val="hybridMultilevel"/>
    <w:tmpl w:val="B45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D024C"/>
    <w:multiLevelType w:val="multilevel"/>
    <w:tmpl w:val="899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266E4"/>
    <w:multiLevelType w:val="multilevel"/>
    <w:tmpl w:val="1F487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03F14"/>
    <w:multiLevelType w:val="multilevel"/>
    <w:tmpl w:val="66F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83F48"/>
    <w:multiLevelType w:val="multilevel"/>
    <w:tmpl w:val="E0F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830A9"/>
    <w:multiLevelType w:val="multilevel"/>
    <w:tmpl w:val="EFC4B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1"/>
  </w:num>
  <w:num w:numId="8">
    <w:abstractNumId w:val="7"/>
  </w:num>
  <w:num w:numId="9">
    <w:abstractNumId w:val="14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3"/>
  </w:num>
  <w:num w:numId="15">
    <w:abstractNumId w:val="20"/>
  </w:num>
  <w:num w:numId="16">
    <w:abstractNumId w:val="10"/>
  </w:num>
  <w:num w:numId="17">
    <w:abstractNumId w:val="22"/>
  </w:num>
  <w:num w:numId="18">
    <w:abstractNumId w:val="8"/>
  </w:num>
  <w:num w:numId="19">
    <w:abstractNumId w:val="18"/>
  </w:num>
  <w:num w:numId="20">
    <w:abstractNumId w:val="19"/>
  </w:num>
  <w:num w:numId="21">
    <w:abstractNumId w:val="9"/>
  </w:num>
  <w:num w:numId="22">
    <w:abstractNumId w:val="12"/>
  </w:num>
  <w:num w:numId="23">
    <w:abstractNumId w:val="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B"/>
    <w:rsid w:val="00015CAB"/>
    <w:rsid w:val="000341D0"/>
    <w:rsid w:val="000C2C7B"/>
    <w:rsid w:val="000E0BE2"/>
    <w:rsid w:val="000F0288"/>
    <w:rsid w:val="000F231A"/>
    <w:rsid w:val="00117B7B"/>
    <w:rsid w:val="0014718F"/>
    <w:rsid w:val="001650C0"/>
    <w:rsid w:val="00171D9B"/>
    <w:rsid w:val="00177952"/>
    <w:rsid w:val="001B7A66"/>
    <w:rsid w:val="00280A52"/>
    <w:rsid w:val="0031167A"/>
    <w:rsid w:val="00372851"/>
    <w:rsid w:val="003A0501"/>
    <w:rsid w:val="00430EF9"/>
    <w:rsid w:val="004566E8"/>
    <w:rsid w:val="00466CA2"/>
    <w:rsid w:val="004B10F7"/>
    <w:rsid w:val="004C6302"/>
    <w:rsid w:val="004D6E06"/>
    <w:rsid w:val="004F0F16"/>
    <w:rsid w:val="004F5299"/>
    <w:rsid w:val="005E6D0F"/>
    <w:rsid w:val="006A5BB2"/>
    <w:rsid w:val="00722778"/>
    <w:rsid w:val="00763377"/>
    <w:rsid w:val="0078010E"/>
    <w:rsid w:val="00850925"/>
    <w:rsid w:val="00854989"/>
    <w:rsid w:val="008F108D"/>
    <w:rsid w:val="009B0438"/>
    <w:rsid w:val="009C3214"/>
    <w:rsid w:val="00AA6994"/>
    <w:rsid w:val="00AE1685"/>
    <w:rsid w:val="00B14985"/>
    <w:rsid w:val="00B37DEA"/>
    <w:rsid w:val="00BA3C86"/>
    <w:rsid w:val="00BD40E9"/>
    <w:rsid w:val="00BE225E"/>
    <w:rsid w:val="00C101F7"/>
    <w:rsid w:val="00C2051D"/>
    <w:rsid w:val="00C43610"/>
    <w:rsid w:val="00C53F88"/>
    <w:rsid w:val="00C65ADA"/>
    <w:rsid w:val="00C82C9A"/>
    <w:rsid w:val="00D14A93"/>
    <w:rsid w:val="00D471E5"/>
    <w:rsid w:val="00D51CBE"/>
    <w:rsid w:val="00D85688"/>
    <w:rsid w:val="00DB406C"/>
    <w:rsid w:val="00DB40AA"/>
    <w:rsid w:val="00E14446"/>
    <w:rsid w:val="00E7577F"/>
    <w:rsid w:val="00EE6504"/>
    <w:rsid w:val="00F14DF3"/>
    <w:rsid w:val="00F3767C"/>
    <w:rsid w:val="00F42D55"/>
    <w:rsid w:val="00F527DB"/>
    <w:rsid w:val="00F77FE4"/>
    <w:rsid w:val="00F823FC"/>
    <w:rsid w:val="00FA6A6F"/>
    <w:rsid w:val="00FD038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40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0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BE22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7"/>
  </w:style>
  <w:style w:type="paragraph" w:styleId="Footer">
    <w:name w:val="footer"/>
    <w:basedOn w:val="Normal"/>
    <w:link w:val="Foot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40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0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BE22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7"/>
  </w:style>
  <w:style w:type="paragraph" w:styleId="Footer">
    <w:name w:val="footer"/>
    <w:basedOn w:val="Normal"/>
    <w:link w:val="Foot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9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761028748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22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453">
          <w:marLeft w:val="0"/>
          <w:marRight w:val="0"/>
          <w:marTop w:val="375"/>
          <w:marBottom w:val="780"/>
          <w:divBdr>
            <w:top w:val="single" w:sz="6" w:space="8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816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155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1964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684">
              <w:marLeft w:val="0"/>
              <w:marRight w:val="0"/>
              <w:marTop w:val="375"/>
              <w:marBottom w:val="780"/>
              <w:divBdr>
                <w:top w:val="single" w:sz="6" w:space="8" w:color="E3E3E3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</w:divsChild>
        </w:div>
        <w:div w:id="456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E9C-51DA-44F2-9704-6786CB0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2017-10-20T21:52:00Z</dcterms:created>
  <dcterms:modified xsi:type="dcterms:W3CDTF">2019-01-23T17:57:00Z</dcterms:modified>
</cp:coreProperties>
</file>