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633C2E" w:rsidRDefault="00C00360" w:rsidP="00E6757B">
      <w:pPr>
        <w:spacing w:after="480"/>
        <w:rPr>
          <w:noProof/>
        </w:rPr>
      </w:pPr>
      <w:r>
        <w:rPr>
          <w:noProof/>
          <w:lang w:val="en-GB" w:eastAsia="en-GB"/>
        </w:rPr>
        <mc:AlternateContent>
          <mc:Choice Requires="wps">
            <w:drawing>
              <wp:anchor distT="45720" distB="45720" distL="114300" distR="114300" simplePos="0" relativeHeight="251668480" behindDoc="0" locked="0" layoutInCell="1" allowOverlap="1" wp14:anchorId="64C428B3" wp14:editId="545A5157">
                <wp:simplePos x="0" y="0"/>
                <wp:positionH relativeFrom="margin">
                  <wp:posOffset>-194310</wp:posOffset>
                </wp:positionH>
                <wp:positionV relativeFrom="paragraph">
                  <wp:posOffset>0</wp:posOffset>
                </wp:positionV>
                <wp:extent cx="3168015" cy="1543685"/>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015" cy="1543685"/>
                        </a:xfrm>
                        <a:prstGeom prst="rect">
                          <a:avLst/>
                        </a:prstGeom>
                        <a:noFill/>
                        <a:ln w="9525">
                          <a:noFill/>
                          <a:miter lim="800000"/>
                          <a:headEnd/>
                          <a:tailEnd/>
                        </a:ln>
                      </wps:spPr>
                      <wps:txbx>
                        <w:txbxContent>
                          <w:p w:rsidR="00E74588" w:rsidRPr="00AF7EF2" w:rsidRDefault="00E74588" w:rsidP="00E6757B">
                            <w:pPr>
                              <w:spacing w:after="0"/>
                              <w:rPr>
                                <w:rFonts w:ascii="Times New Roman" w:hAnsi="Times New Roman" w:cs="Times New Roman"/>
                                <w:b/>
                                <w:bCs/>
                                <w:szCs w:val="28"/>
                              </w:rPr>
                            </w:pPr>
                            <w:r w:rsidRPr="00AF7EF2">
                              <w:rPr>
                                <w:rFonts w:ascii="Times New Roman" w:hAnsi="Times New Roman" w:cs="Times New Roman"/>
                                <w:b/>
                                <w:bCs/>
                                <w:szCs w:val="28"/>
                              </w:rPr>
                              <w:t>Republic of Iraq</w:t>
                            </w:r>
                          </w:p>
                          <w:p w:rsidR="00E74588" w:rsidRPr="00AF7EF2" w:rsidRDefault="00E74588" w:rsidP="00C00360">
                            <w:pPr>
                              <w:spacing w:after="0"/>
                              <w:rPr>
                                <w:rFonts w:ascii="Times New Roman" w:hAnsi="Times New Roman" w:cs="Times New Roman"/>
                                <w:b/>
                                <w:bCs/>
                                <w:szCs w:val="28"/>
                              </w:rPr>
                            </w:pPr>
                            <w:r w:rsidRPr="00AF7EF2">
                              <w:rPr>
                                <w:rFonts w:ascii="Times New Roman" w:hAnsi="Times New Roman" w:cs="Times New Roman"/>
                                <w:b/>
                                <w:bCs/>
                                <w:szCs w:val="28"/>
                              </w:rPr>
                              <w:t>Ministry of Higher Education</w:t>
                            </w:r>
                            <w:r w:rsidR="00C00360">
                              <w:rPr>
                                <w:rFonts w:ascii="Times New Roman" w:hAnsi="Times New Roman" w:cs="Times New Roman"/>
                                <w:b/>
                                <w:bCs/>
                                <w:szCs w:val="28"/>
                              </w:rPr>
                              <w:t xml:space="preserve"> &amp;</w:t>
                            </w:r>
                            <w:r w:rsidRPr="00AF7EF2">
                              <w:rPr>
                                <w:rFonts w:ascii="Times New Roman" w:hAnsi="Times New Roman" w:cs="Times New Roman"/>
                                <w:b/>
                                <w:bCs/>
                                <w:szCs w:val="28"/>
                              </w:rPr>
                              <w:t xml:space="preserve"> Scientific Research </w:t>
                            </w:r>
                          </w:p>
                          <w:p w:rsidR="00E74588" w:rsidRPr="00AF7EF2" w:rsidRDefault="00E74588" w:rsidP="00E6757B">
                            <w:pPr>
                              <w:spacing w:after="0"/>
                              <w:rPr>
                                <w:rFonts w:ascii="Times New Roman" w:hAnsi="Times New Roman" w:cs="Times New Roman"/>
                                <w:b/>
                                <w:bCs/>
                                <w:szCs w:val="28"/>
                              </w:rPr>
                            </w:pPr>
                            <w:r w:rsidRPr="00AF7EF2">
                              <w:rPr>
                                <w:rFonts w:ascii="Times New Roman" w:hAnsi="Times New Roman" w:cs="Times New Roman"/>
                                <w:b/>
                                <w:bCs/>
                                <w:szCs w:val="28"/>
                              </w:rPr>
                              <w:t xml:space="preserve">University of Baghdad </w:t>
                            </w:r>
                          </w:p>
                          <w:p w:rsidR="00E74588" w:rsidRPr="00AF7EF2" w:rsidRDefault="00E74588" w:rsidP="00E6757B">
                            <w:pPr>
                              <w:rPr>
                                <w:rFonts w:ascii="Times New Roman" w:hAnsi="Times New Roman" w:cs="Times New Roman"/>
                                <w:b/>
                                <w:bCs/>
                                <w:szCs w:val="28"/>
                              </w:rPr>
                            </w:pPr>
                            <w:r w:rsidRPr="00AF7EF2">
                              <w:rPr>
                                <w:rFonts w:ascii="Times New Roman" w:hAnsi="Times New Roman" w:cs="Times New Roman"/>
                                <w:b/>
                                <w:bCs/>
                                <w:szCs w:val="28"/>
                              </w:rPr>
                              <w:t>College of Dentistry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C428B3" id="_x0000_t202" coordsize="21600,21600" o:spt="202" path="m,l,21600r21600,l21600,xe">
                <v:stroke joinstyle="miter"/>
                <v:path gradientshapeok="t" o:connecttype="rect"/>
              </v:shapetype>
              <v:shape id="Text Box 6" o:spid="_x0000_s1026" type="#_x0000_t202" style="position:absolute;left:0;text-align:left;margin-left:-15.3pt;margin-top:0;width:249.45pt;height:121.5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" filled="f" stroked="f">
                <v:textbox>
                  <w:txbxContent>
                    <w:p w:rsidR="00E74588" w:rsidRPr="00AF7EF2" w:rsidRDefault="00E74588" w:rsidP="00E6757B">
                      <w:pPr>
                        <w:spacing w:after="0"/>
                        <w:rPr>
                          <w:rFonts w:ascii="Times New Roman" w:hAnsi="Times New Roman" w:cs="Times New Roman"/>
                          <w:b/>
                          <w:bCs/>
                          <w:szCs w:val="28"/>
                        </w:rPr>
                      </w:pPr>
                      <w:r w:rsidRPr="00AF7EF2">
                        <w:rPr>
                          <w:rFonts w:ascii="Times New Roman" w:hAnsi="Times New Roman" w:cs="Times New Roman"/>
                          <w:b/>
                          <w:bCs/>
                          <w:szCs w:val="28"/>
                        </w:rPr>
                        <w:t>Republic of Iraq</w:t>
                      </w:r>
                    </w:p>
                    <w:p w:rsidR="00E74588" w:rsidRPr="00AF7EF2" w:rsidRDefault="00E74588" w:rsidP="00C00360">
                      <w:pPr>
                        <w:spacing w:after="0"/>
                        <w:rPr>
                          <w:rFonts w:ascii="Times New Roman" w:hAnsi="Times New Roman" w:cs="Times New Roman"/>
                          <w:b/>
                          <w:bCs/>
                          <w:szCs w:val="28"/>
                        </w:rPr>
                      </w:pPr>
                      <w:r w:rsidRPr="00AF7EF2">
                        <w:rPr>
                          <w:rFonts w:ascii="Times New Roman" w:hAnsi="Times New Roman" w:cs="Times New Roman"/>
                          <w:b/>
                          <w:bCs/>
                          <w:szCs w:val="28"/>
                        </w:rPr>
                        <w:t>Ministry of Higher Education</w:t>
                      </w:r>
                      <w:r w:rsidR="00C00360">
                        <w:rPr>
                          <w:rFonts w:ascii="Times New Roman" w:hAnsi="Times New Roman" w:cs="Times New Roman"/>
                          <w:b/>
                          <w:bCs/>
                          <w:szCs w:val="28"/>
                        </w:rPr>
                        <w:t xml:space="preserve"> &amp;</w:t>
                      </w:r>
                      <w:r w:rsidRPr="00AF7EF2">
                        <w:rPr>
                          <w:rFonts w:ascii="Times New Roman" w:hAnsi="Times New Roman" w:cs="Times New Roman"/>
                          <w:b/>
                          <w:bCs/>
                          <w:szCs w:val="28"/>
                        </w:rPr>
                        <w:t xml:space="preserve"> Scientific Research </w:t>
                      </w:r>
                    </w:p>
                    <w:p w:rsidR="00E74588" w:rsidRPr="00AF7EF2" w:rsidRDefault="00E74588" w:rsidP="00E6757B">
                      <w:pPr>
                        <w:spacing w:after="0"/>
                        <w:rPr>
                          <w:rFonts w:ascii="Times New Roman" w:hAnsi="Times New Roman" w:cs="Times New Roman"/>
                          <w:b/>
                          <w:bCs/>
                          <w:szCs w:val="28"/>
                        </w:rPr>
                      </w:pPr>
                      <w:r w:rsidRPr="00AF7EF2">
                        <w:rPr>
                          <w:rFonts w:ascii="Times New Roman" w:hAnsi="Times New Roman" w:cs="Times New Roman"/>
                          <w:b/>
                          <w:bCs/>
                          <w:szCs w:val="28"/>
                        </w:rPr>
                        <w:t xml:space="preserve">University of Baghdad </w:t>
                      </w:r>
                    </w:p>
                    <w:p w:rsidR="00E74588" w:rsidRPr="00AF7EF2" w:rsidRDefault="00E74588" w:rsidP="00E6757B">
                      <w:pPr>
                        <w:rPr>
                          <w:rFonts w:ascii="Times New Roman" w:hAnsi="Times New Roman" w:cs="Times New Roman"/>
                          <w:b/>
                          <w:bCs/>
                          <w:szCs w:val="28"/>
                        </w:rPr>
                      </w:pPr>
                      <w:r w:rsidRPr="00AF7EF2">
                        <w:rPr>
                          <w:rFonts w:ascii="Times New Roman" w:hAnsi="Times New Roman" w:cs="Times New Roman"/>
                          <w:b/>
                          <w:bCs/>
                          <w:szCs w:val="28"/>
                        </w:rPr>
                        <w:t>College of Dentistry</w:t>
                      </w:r>
                    </w:p>
                  </w:txbxContent>
                </v:textbox>
                <w10:wrap type="square" anchorx="margin"/>
              </v:shape>
            </w:pict>
          </mc:Fallback>
        </mc:AlternateContent>
      </w:r>
      <w:r w:rsidR="00E6757B">
        <w:rPr>
          <w:noProof/>
          <w:lang w:val="en-GB" w:eastAsia="en-GB"/>
        </w:rPr>
        <w:drawing>
          <wp:anchor distT="0" distB="0" distL="114300" distR="114300" simplePos="0" relativeHeight="251664384" behindDoc="1" locked="0" layoutInCell="1" allowOverlap="1" wp14:anchorId="27EF492E" wp14:editId="21D723A2">
            <wp:simplePos x="0" y="0"/>
            <wp:positionH relativeFrom="margin">
              <wp:posOffset>4548249</wp:posOffset>
            </wp:positionH>
            <wp:positionV relativeFrom="paragraph">
              <wp:posOffset>-142504</wp:posOffset>
            </wp:positionV>
            <wp:extent cx="1602969" cy="1650670"/>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2740" cy="16504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757B">
        <w:rPr>
          <w:noProof/>
          <w:lang w:val="en-GB" w:eastAsia="en-GB"/>
        </w:rPr>
        <w:drawing>
          <wp:anchor distT="0" distB="0" distL="114300" distR="114300" simplePos="0" relativeHeight="251666432" behindDoc="1" locked="0" layoutInCell="1" allowOverlap="1" wp14:anchorId="2AFE3F5D" wp14:editId="76D1AC19">
            <wp:simplePos x="0" y="0"/>
            <wp:positionH relativeFrom="margin">
              <wp:posOffset>3098800</wp:posOffset>
            </wp:positionH>
            <wp:positionV relativeFrom="paragraph">
              <wp:posOffset>-57785</wp:posOffset>
            </wp:positionV>
            <wp:extent cx="1452245" cy="1461770"/>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2245" cy="14617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2A97" w:rsidRDefault="00AB2A97" w:rsidP="00E6757B">
      <w:pPr>
        <w:jc w:val="left"/>
        <w:rPr>
          <w:sz w:val="48"/>
          <w:szCs w:val="48"/>
          <w:rtl/>
          <w:lang w:bidi="ar-IQ"/>
        </w:rPr>
      </w:pPr>
    </w:p>
    <w:p w:rsidR="00E6757B" w:rsidRDefault="00E6757B">
      <w:pPr>
        <w:rPr>
          <w:sz w:val="48"/>
          <w:szCs w:val="48"/>
          <w:lang w:bidi="ar-IQ"/>
        </w:rPr>
      </w:pPr>
    </w:p>
    <w:p w:rsidR="00E6757B" w:rsidRDefault="00E6757B" w:rsidP="009C705D">
      <w:pPr>
        <w:spacing w:line="240" w:lineRule="auto"/>
        <w:jc w:val="center"/>
        <w:rPr>
          <w:b/>
          <w:bCs/>
          <w:sz w:val="56"/>
          <w:szCs w:val="56"/>
          <w:rtl/>
          <w:lang w:bidi="ar-IQ"/>
        </w:rPr>
      </w:pPr>
    </w:p>
    <w:p w:rsidR="00633C2E" w:rsidRPr="00AB2A97" w:rsidRDefault="00AB2A97" w:rsidP="009C705D">
      <w:pPr>
        <w:spacing w:line="240" w:lineRule="auto"/>
        <w:jc w:val="center"/>
        <w:rPr>
          <w:b/>
          <w:bCs/>
          <w:sz w:val="56"/>
          <w:szCs w:val="56"/>
          <w:rtl/>
          <w:lang w:bidi="ar-IQ"/>
        </w:rPr>
      </w:pPr>
      <w:r>
        <w:rPr>
          <w:b/>
          <w:bCs/>
          <w:sz w:val="56"/>
          <w:szCs w:val="56"/>
          <w:lang w:bidi="ar-IQ"/>
        </w:rPr>
        <w:t xml:space="preserve">Advanced Treatment </w:t>
      </w:r>
      <w:r w:rsidR="009C705D">
        <w:rPr>
          <w:b/>
          <w:bCs/>
          <w:sz w:val="56"/>
          <w:szCs w:val="56"/>
          <w:lang w:bidi="ar-IQ"/>
        </w:rPr>
        <w:t>M</w:t>
      </w:r>
      <w:r>
        <w:rPr>
          <w:b/>
          <w:bCs/>
          <w:sz w:val="56"/>
          <w:szCs w:val="56"/>
          <w:lang w:bidi="ar-IQ"/>
        </w:rPr>
        <w:t>aterial</w:t>
      </w:r>
      <w:r w:rsidR="009C705D">
        <w:rPr>
          <w:b/>
          <w:bCs/>
          <w:sz w:val="56"/>
          <w:szCs w:val="56"/>
          <w:lang w:bidi="ar-IQ"/>
        </w:rPr>
        <w:t>s</w:t>
      </w:r>
      <w:r>
        <w:rPr>
          <w:b/>
          <w:bCs/>
          <w:sz w:val="56"/>
          <w:szCs w:val="56"/>
          <w:lang w:bidi="ar-IQ"/>
        </w:rPr>
        <w:t xml:space="preserve"> and Technique</w:t>
      </w:r>
      <w:r w:rsidR="009C705D">
        <w:rPr>
          <w:b/>
          <w:bCs/>
          <w:sz w:val="56"/>
          <w:szCs w:val="56"/>
          <w:lang w:bidi="ar-IQ"/>
        </w:rPr>
        <w:t>s</w:t>
      </w:r>
      <w:r w:rsidR="009C705D" w:rsidRPr="009C705D">
        <w:rPr>
          <w:b/>
          <w:bCs/>
          <w:sz w:val="56"/>
          <w:szCs w:val="56"/>
          <w:lang w:bidi="ar-IQ"/>
        </w:rPr>
        <w:t xml:space="preserve"> </w:t>
      </w:r>
      <w:r w:rsidR="009C705D">
        <w:rPr>
          <w:b/>
          <w:bCs/>
          <w:sz w:val="56"/>
          <w:szCs w:val="56"/>
          <w:lang w:bidi="ar-IQ"/>
        </w:rPr>
        <w:t xml:space="preserve">for </w:t>
      </w:r>
      <w:r w:rsidR="009C705D" w:rsidRPr="009C705D">
        <w:rPr>
          <w:b/>
          <w:bCs/>
          <w:sz w:val="56"/>
          <w:szCs w:val="56"/>
          <w:lang w:bidi="ar-IQ"/>
        </w:rPr>
        <w:t>Dentin Hypersensitivity</w:t>
      </w:r>
      <w:r>
        <w:rPr>
          <w:b/>
          <w:bCs/>
          <w:sz w:val="56"/>
          <w:szCs w:val="56"/>
          <w:lang w:bidi="ar-IQ"/>
        </w:rPr>
        <w:t xml:space="preserve"> </w:t>
      </w:r>
    </w:p>
    <w:p w:rsidR="00633C2E" w:rsidRDefault="00633C2E" w:rsidP="00633C2E">
      <w:pPr>
        <w:rPr>
          <w:sz w:val="24"/>
          <w:szCs w:val="24"/>
          <w:rtl/>
          <w:lang w:bidi="ar-IQ"/>
        </w:rPr>
      </w:pPr>
    </w:p>
    <w:p w:rsidR="00F410A8" w:rsidRDefault="00AB2A97" w:rsidP="00AB2A97">
      <w:pPr>
        <w:jc w:val="center"/>
        <w:rPr>
          <w:sz w:val="56"/>
          <w:szCs w:val="56"/>
          <w:lang w:bidi="ar-IQ"/>
        </w:rPr>
      </w:pPr>
      <w:r>
        <w:rPr>
          <w:sz w:val="56"/>
          <w:szCs w:val="56"/>
          <w:lang w:bidi="ar-IQ"/>
        </w:rPr>
        <w:t>BY</w:t>
      </w:r>
    </w:p>
    <w:p w:rsidR="00AB2A97" w:rsidRPr="009C705D" w:rsidRDefault="009C705D" w:rsidP="00AB2A97">
      <w:pPr>
        <w:jc w:val="center"/>
        <w:rPr>
          <w:b/>
          <w:bCs/>
          <w:sz w:val="52"/>
          <w:szCs w:val="52"/>
          <w:lang w:bidi="ar-IQ"/>
        </w:rPr>
      </w:pPr>
      <w:r w:rsidRPr="009C705D">
        <w:rPr>
          <w:b/>
          <w:bCs/>
          <w:sz w:val="52"/>
          <w:szCs w:val="52"/>
          <w:lang w:bidi="ar-IQ"/>
        </w:rPr>
        <w:t xml:space="preserve">Abdulrahman Nawfel </w:t>
      </w:r>
    </w:p>
    <w:p w:rsidR="00AB2A97" w:rsidRPr="007F73CF" w:rsidRDefault="00AB2A97" w:rsidP="009C705D">
      <w:pPr>
        <w:spacing w:line="240" w:lineRule="auto"/>
        <w:jc w:val="center"/>
        <w:rPr>
          <w:sz w:val="44"/>
          <w:szCs w:val="44"/>
          <w:lang w:bidi="ar-IQ"/>
        </w:rPr>
      </w:pPr>
      <w:r w:rsidRPr="007F73CF">
        <w:rPr>
          <w:sz w:val="44"/>
          <w:szCs w:val="44"/>
          <w:lang w:bidi="ar-IQ"/>
        </w:rPr>
        <w:t>Supervised by</w:t>
      </w:r>
    </w:p>
    <w:p w:rsidR="00AB2A97" w:rsidRPr="007F73CF" w:rsidRDefault="00AB2A97" w:rsidP="009C705D">
      <w:pPr>
        <w:spacing w:line="240" w:lineRule="auto"/>
        <w:jc w:val="center"/>
        <w:rPr>
          <w:sz w:val="44"/>
          <w:szCs w:val="44"/>
          <w:lang w:bidi="ar-IQ"/>
        </w:rPr>
      </w:pPr>
      <w:r w:rsidRPr="007F73CF">
        <w:rPr>
          <w:sz w:val="44"/>
          <w:szCs w:val="44"/>
          <w:lang w:bidi="ar-IQ"/>
        </w:rPr>
        <w:t xml:space="preserve"> Asst. prof. Dr. Lamis A. AL-Taee</w:t>
      </w:r>
    </w:p>
    <w:p w:rsidR="00AB2A97" w:rsidRPr="007F73CF" w:rsidRDefault="00AB2A97" w:rsidP="009C705D">
      <w:pPr>
        <w:spacing w:line="240" w:lineRule="auto"/>
        <w:jc w:val="center"/>
        <w:rPr>
          <w:sz w:val="44"/>
          <w:szCs w:val="44"/>
          <w:lang w:bidi="ar-IQ"/>
        </w:rPr>
      </w:pPr>
      <w:r w:rsidRPr="007F73CF">
        <w:rPr>
          <w:sz w:val="44"/>
          <w:szCs w:val="44"/>
          <w:lang w:bidi="ar-IQ"/>
        </w:rPr>
        <w:t>B.D.S.</w:t>
      </w:r>
      <w:r w:rsidR="00621398" w:rsidRPr="007F73CF">
        <w:rPr>
          <w:sz w:val="44"/>
          <w:szCs w:val="44"/>
          <w:lang w:bidi="ar-IQ"/>
        </w:rPr>
        <w:t>, M.Sc., Ph.D</w:t>
      </w:r>
    </w:p>
    <w:p w:rsidR="009C705D" w:rsidRPr="007F73CF" w:rsidRDefault="009C705D" w:rsidP="009C705D">
      <w:pPr>
        <w:spacing w:line="240" w:lineRule="auto"/>
        <w:jc w:val="center"/>
        <w:rPr>
          <w:sz w:val="44"/>
          <w:szCs w:val="44"/>
          <w:lang w:bidi="ar-IQ"/>
        </w:rPr>
      </w:pPr>
    </w:p>
    <w:p w:rsidR="00621398" w:rsidRPr="00036314" w:rsidRDefault="00621398" w:rsidP="009C705D">
      <w:pPr>
        <w:spacing w:line="240" w:lineRule="auto"/>
        <w:jc w:val="center"/>
        <w:rPr>
          <w:b/>
          <w:bCs/>
          <w:sz w:val="40"/>
          <w:szCs w:val="40"/>
          <w:lang w:bidi="ar-IQ"/>
        </w:rPr>
      </w:pPr>
      <w:r w:rsidRPr="00036314">
        <w:rPr>
          <w:b/>
          <w:bCs/>
          <w:sz w:val="40"/>
          <w:szCs w:val="40"/>
          <w:lang w:bidi="ar-IQ"/>
        </w:rPr>
        <w:t xml:space="preserve">Department of Restorative </w:t>
      </w:r>
      <w:r w:rsidR="009C705D" w:rsidRPr="00036314">
        <w:rPr>
          <w:b/>
          <w:bCs/>
          <w:sz w:val="40"/>
          <w:szCs w:val="40"/>
          <w:lang w:bidi="ar-IQ"/>
        </w:rPr>
        <w:t>&amp;</w:t>
      </w:r>
      <w:r w:rsidRPr="00036314">
        <w:rPr>
          <w:b/>
          <w:bCs/>
          <w:sz w:val="40"/>
          <w:szCs w:val="40"/>
          <w:lang w:bidi="ar-IQ"/>
        </w:rPr>
        <w:t xml:space="preserve"> Esthetic Dentistry </w:t>
      </w:r>
    </w:p>
    <w:p w:rsidR="00621398" w:rsidRPr="00036314" w:rsidRDefault="00621398" w:rsidP="009C705D">
      <w:pPr>
        <w:spacing w:line="240" w:lineRule="auto"/>
        <w:jc w:val="center"/>
        <w:rPr>
          <w:b/>
          <w:bCs/>
          <w:sz w:val="40"/>
          <w:szCs w:val="40"/>
          <w:rtl/>
          <w:lang w:bidi="ar-IQ"/>
        </w:rPr>
      </w:pPr>
      <w:r w:rsidRPr="00036314">
        <w:rPr>
          <w:b/>
          <w:bCs/>
          <w:sz w:val="40"/>
          <w:szCs w:val="40"/>
          <w:lang w:bidi="ar-IQ"/>
        </w:rPr>
        <w:t>2021-2022</w:t>
      </w:r>
    </w:p>
    <w:p w:rsidR="00036314" w:rsidRDefault="00036314" w:rsidP="00E6757B">
      <w:pPr>
        <w:widowControl w:val="0"/>
        <w:autoSpaceDE w:val="0"/>
        <w:autoSpaceDN w:val="0"/>
        <w:spacing w:after="0"/>
        <w:jc w:val="center"/>
        <w:rPr>
          <w:rFonts w:eastAsia="Arial" w:cs="Arial"/>
          <w:b/>
          <w:iCs/>
          <w:sz w:val="36"/>
          <w:szCs w:val="36"/>
        </w:rPr>
      </w:pPr>
    </w:p>
    <w:p w:rsidR="00E6757B" w:rsidRPr="00C00360" w:rsidRDefault="00E6757B" w:rsidP="00E6757B">
      <w:pPr>
        <w:widowControl w:val="0"/>
        <w:autoSpaceDE w:val="0"/>
        <w:autoSpaceDN w:val="0"/>
        <w:spacing w:after="0"/>
        <w:jc w:val="center"/>
        <w:rPr>
          <w:rFonts w:eastAsia="Arial" w:cs="Arial"/>
          <w:b/>
          <w:iCs/>
          <w:sz w:val="36"/>
          <w:szCs w:val="36"/>
        </w:rPr>
      </w:pPr>
      <w:r w:rsidRPr="00C00360">
        <w:rPr>
          <w:rFonts w:eastAsia="Arial" w:cs="Arial"/>
          <w:b/>
          <w:iCs/>
          <w:sz w:val="36"/>
          <w:szCs w:val="36"/>
        </w:rPr>
        <w:lastRenderedPageBreak/>
        <w:t>Certification</w:t>
      </w:r>
      <w:r w:rsidRPr="00C00360">
        <w:rPr>
          <w:rFonts w:eastAsia="Arial" w:cs="Arial"/>
          <w:b/>
          <w:iCs/>
          <w:spacing w:val="-8"/>
          <w:sz w:val="36"/>
          <w:szCs w:val="36"/>
        </w:rPr>
        <w:t xml:space="preserve"> </w:t>
      </w:r>
      <w:r w:rsidRPr="00C00360">
        <w:rPr>
          <w:rFonts w:eastAsia="Arial" w:cs="Arial"/>
          <w:b/>
          <w:iCs/>
          <w:sz w:val="36"/>
          <w:szCs w:val="36"/>
        </w:rPr>
        <w:t>of</w:t>
      </w:r>
      <w:r w:rsidRPr="00C00360">
        <w:rPr>
          <w:rFonts w:eastAsia="Arial" w:cs="Arial"/>
          <w:b/>
          <w:iCs/>
          <w:spacing w:val="-9"/>
          <w:sz w:val="36"/>
          <w:szCs w:val="36"/>
        </w:rPr>
        <w:t xml:space="preserve"> </w:t>
      </w:r>
      <w:r w:rsidRPr="00C00360">
        <w:rPr>
          <w:rFonts w:eastAsia="Arial" w:cs="Arial"/>
          <w:b/>
          <w:iCs/>
          <w:sz w:val="36"/>
          <w:szCs w:val="36"/>
        </w:rPr>
        <w:t>the</w:t>
      </w:r>
      <w:r w:rsidRPr="00C00360">
        <w:rPr>
          <w:rFonts w:eastAsia="Arial" w:cs="Arial"/>
          <w:b/>
          <w:iCs/>
          <w:spacing w:val="-8"/>
          <w:sz w:val="36"/>
          <w:szCs w:val="36"/>
        </w:rPr>
        <w:t xml:space="preserve"> </w:t>
      </w:r>
      <w:r w:rsidRPr="00C00360">
        <w:rPr>
          <w:rFonts w:eastAsia="Arial" w:cs="Arial"/>
          <w:b/>
          <w:iCs/>
          <w:spacing w:val="-2"/>
          <w:sz w:val="36"/>
          <w:szCs w:val="36"/>
        </w:rPr>
        <w:t>Supervisor</w:t>
      </w:r>
    </w:p>
    <w:p w:rsidR="00E6757B" w:rsidRPr="00E6757B" w:rsidRDefault="00E6757B" w:rsidP="00E6757B">
      <w:pPr>
        <w:widowControl w:val="0"/>
        <w:autoSpaceDE w:val="0"/>
        <w:autoSpaceDN w:val="0"/>
        <w:spacing w:after="0"/>
        <w:jc w:val="left"/>
        <w:rPr>
          <w:rFonts w:ascii="Times New Roman" w:eastAsia="Arial" w:hAnsi="Times New Roman" w:cs="Times New Roman"/>
          <w:b/>
          <w:i/>
          <w:szCs w:val="28"/>
        </w:rPr>
      </w:pPr>
    </w:p>
    <w:p w:rsidR="00E6757B" w:rsidRPr="00C00360" w:rsidRDefault="00E6757B" w:rsidP="00E6757B">
      <w:pPr>
        <w:widowControl w:val="0"/>
        <w:autoSpaceDE w:val="0"/>
        <w:autoSpaceDN w:val="0"/>
        <w:spacing w:after="0"/>
        <w:rPr>
          <w:rFonts w:eastAsia="Arial" w:cs="Arial"/>
          <w:b/>
          <w:i/>
          <w:szCs w:val="28"/>
        </w:rPr>
      </w:pPr>
    </w:p>
    <w:p w:rsidR="00E6757B" w:rsidRPr="00C00360" w:rsidRDefault="00E6757B" w:rsidP="00E6757B">
      <w:pPr>
        <w:widowControl w:val="0"/>
        <w:autoSpaceDE w:val="0"/>
        <w:autoSpaceDN w:val="0"/>
        <w:spacing w:after="0"/>
        <w:ind w:firstLine="720"/>
        <w:rPr>
          <w:rFonts w:eastAsia="Arial" w:cs="Arial"/>
          <w:b/>
          <w:bCs/>
          <w:szCs w:val="28"/>
        </w:rPr>
      </w:pPr>
      <w:r w:rsidRPr="00C00360">
        <w:rPr>
          <w:rFonts w:eastAsia="Arial" w:cs="Arial"/>
          <w:szCs w:val="28"/>
        </w:rPr>
        <w:t>I</w:t>
      </w:r>
      <w:r w:rsidRPr="00C00360">
        <w:rPr>
          <w:rFonts w:eastAsia="Arial" w:cs="Arial"/>
          <w:spacing w:val="-9"/>
          <w:szCs w:val="28"/>
        </w:rPr>
        <w:t xml:space="preserve"> </w:t>
      </w:r>
      <w:r w:rsidRPr="00C00360">
        <w:rPr>
          <w:rFonts w:eastAsia="Arial" w:cs="Arial"/>
          <w:szCs w:val="28"/>
        </w:rPr>
        <w:t>certify</w:t>
      </w:r>
      <w:r w:rsidRPr="00C00360">
        <w:rPr>
          <w:rFonts w:eastAsia="Arial" w:cs="Arial"/>
          <w:spacing w:val="-12"/>
          <w:szCs w:val="28"/>
        </w:rPr>
        <w:t xml:space="preserve"> </w:t>
      </w:r>
      <w:r w:rsidRPr="00C00360">
        <w:rPr>
          <w:rFonts w:eastAsia="Arial" w:cs="Arial"/>
          <w:szCs w:val="28"/>
        </w:rPr>
        <w:t>that</w:t>
      </w:r>
      <w:r w:rsidRPr="00C00360">
        <w:rPr>
          <w:rFonts w:eastAsia="Arial" w:cs="Arial"/>
          <w:spacing w:val="-4"/>
          <w:szCs w:val="28"/>
        </w:rPr>
        <w:t xml:space="preserve"> </w:t>
      </w:r>
      <w:r w:rsidRPr="00C00360">
        <w:rPr>
          <w:rFonts w:eastAsia="Arial" w:cs="Arial"/>
          <w:szCs w:val="28"/>
        </w:rPr>
        <w:t>this</w:t>
      </w:r>
      <w:r w:rsidRPr="00C00360">
        <w:rPr>
          <w:rFonts w:eastAsia="Arial" w:cs="Arial"/>
          <w:spacing w:val="-3"/>
          <w:szCs w:val="28"/>
        </w:rPr>
        <w:t xml:space="preserve"> </w:t>
      </w:r>
      <w:r w:rsidRPr="00C00360">
        <w:rPr>
          <w:rFonts w:eastAsia="Arial" w:cs="Arial"/>
          <w:szCs w:val="28"/>
        </w:rPr>
        <w:t>undergraduate</w:t>
      </w:r>
      <w:r w:rsidRPr="00C00360">
        <w:rPr>
          <w:rFonts w:eastAsia="Arial" w:cs="Arial"/>
          <w:spacing w:val="-4"/>
          <w:szCs w:val="28"/>
        </w:rPr>
        <w:t xml:space="preserve"> </w:t>
      </w:r>
      <w:r w:rsidRPr="00C00360">
        <w:rPr>
          <w:rFonts w:eastAsia="Arial" w:cs="Arial"/>
          <w:szCs w:val="28"/>
        </w:rPr>
        <w:t>dissertation</w:t>
      </w:r>
      <w:r w:rsidRPr="00C00360">
        <w:rPr>
          <w:rFonts w:eastAsia="Arial" w:cs="Arial"/>
          <w:spacing w:val="-4"/>
          <w:szCs w:val="28"/>
        </w:rPr>
        <w:t xml:space="preserve"> </w:t>
      </w:r>
      <w:r w:rsidRPr="00C00360">
        <w:rPr>
          <w:rFonts w:eastAsia="Arial" w:cs="Arial"/>
          <w:szCs w:val="28"/>
        </w:rPr>
        <w:t>entitled</w:t>
      </w:r>
      <w:r w:rsidRPr="00C00360">
        <w:rPr>
          <w:rFonts w:eastAsia="Arial" w:cs="Arial"/>
          <w:spacing w:val="-9"/>
          <w:szCs w:val="28"/>
        </w:rPr>
        <w:t xml:space="preserve"> </w:t>
      </w:r>
      <w:r w:rsidRPr="00C00360">
        <w:rPr>
          <w:rFonts w:eastAsia="Arial" w:cs="Arial"/>
          <w:b/>
          <w:szCs w:val="28"/>
        </w:rPr>
        <w:t>"</w:t>
      </w:r>
      <w:r w:rsidRPr="00C00360">
        <w:rPr>
          <w:rFonts w:eastAsia="Arial" w:cs="Arial"/>
          <w:b/>
          <w:bCs/>
          <w:szCs w:val="28"/>
        </w:rPr>
        <w:t>Advanced Treatment Materials and Techniques for Dentin Hypersensitivity</w:t>
      </w:r>
      <w:r w:rsidRPr="00C00360">
        <w:rPr>
          <w:rFonts w:eastAsia="Arial" w:cs="Arial"/>
          <w:b/>
          <w:szCs w:val="28"/>
        </w:rPr>
        <w:t xml:space="preserve">" </w:t>
      </w:r>
      <w:r w:rsidRPr="00C00360">
        <w:rPr>
          <w:rFonts w:eastAsia="Arial" w:cs="Arial"/>
          <w:szCs w:val="28"/>
        </w:rPr>
        <w:t xml:space="preserve">was prepared by </w:t>
      </w:r>
      <w:r w:rsidRPr="00C00360">
        <w:rPr>
          <w:rFonts w:eastAsia="Arial" w:cs="Arial"/>
          <w:b/>
          <w:bCs/>
          <w:szCs w:val="28"/>
        </w:rPr>
        <w:t xml:space="preserve">Abdulrahman Nawfel </w:t>
      </w:r>
      <w:r w:rsidRPr="00C00360">
        <w:rPr>
          <w:rFonts w:eastAsia="Arial" w:cs="Arial"/>
          <w:szCs w:val="28"/>
        </w:rPr>
        <w:t>under my supervision at</w:t>
      </w:r>
      <w:r w:rsidRPr="00C00360">
        <w:rPr>
          <w:rFonts w:eastAsia="Arial" w:cs="Arial"/>
          <w:spacing w:val="-2"/>
          <w:szCs w:val="28"/>
        </w:rPr>
        <w:t xml:space="preserve"> </w:t>
      </w:r>
      <w:r w:rsidRPr="00C00360">
        <w:rPr>
          <w:rFonts w:eastAsia="Arial" w:cs="Arial"/>
          <w:szCs w:val="28"/>
        </w:rPr>
        <w:t>the</w:t>
      </w:r>
      <w:r w:rsidRPr="00C00360">
        <w:rPr>
          <w:rFonts w:eastAsia="Arial" w:cs="Arial"/>
          <w:spacing w:val="-2"/>
          <w:szCs w:val="28"/>
        </w:rPr>
        <w:t xml:space="preserve"> </w:t>
      </w:r>
      <w:r w:rsidRPr="00C00360">
        <w:rPr>
          <w:rFonts w:eastAsia="Arial" w:cs="Arial"/>
          <w:szCs w:val="28"/>
        </w:rPr>
        <w:t>College of</w:t>
      </w:r>
      <w:r w:rsidRPr="00C00360">
        <w:rPr>
          <w:rFonts w:eastAsia="Arial" w:cs="Arial"/>
          <w:spacing w:val="-2"/>
          <w:szCs w:val="28"/>
        </w:rPr>
        <w:t xml:space="preserve"> </w:t>
      </w:r>
      <w:r w:rsidRPr="00C00360">
        <w:rPr>
          <w:rFonts w:eastAsia="Arial" w:cs="Arial"/>
          <w:szCs w:val="28"/>
        </w:rPr>
        <w:t>Dentistry</w:t>
      </w:r>
      <w:r w:rsidRPr="00C00360">
        <w:rPr>
          <w:rFonts w:eastAsia="Arial" w:cs="Arial"/>
          <w:spacing w:val="-1"/>
          <w:szCs w:val="28"/>
        </w:rPr>
        <w:t xml:space="preserve"> </w:t>
      </w:r>
      <w:r w:rsidRPr="00C00360">
        <w:rPr>
          <w:rFonts w:eastAsia="Arial" w:cs="Arial"/>
          <w:szCs w:val="28"/>
        </w:rPr>
        <w:t>/ University</w:t>
      </w:r>
      <w:r w:rsidRPr="00C00360">
        <w:rPr>
          <w:rFonts w:eastAsia="Arial" w:cs="Arial"/>
          <w:spacing w:val="-1"/>
          <w:szCs w:val="28"/>
        </w:rPr>
        <w:t xml:space="preserve"> </w:t>
      </w:r>
      <w:r w:rsidRPr="00C00360">
        <w:rPr>
          <w:rFonts w:eastAsia="Arial" w:cs="Arial"/>
          <w:szCs w:val="28"/>
        </w:rPr>
        <w:t>of</w:t>
      </w:r>
      <w:r w:rsidRPr="00C00360">
        <w:rPr>
          <w:rFonts w:eastAsia="Arial" w:cs="Arial"/>
          <w:spacing w:val="-2"/>
          <w:szCs w:val="28"/>
        </w:rPr>
        <w:t xml:space="preserve"> </w:t>
      </w:r>
      <w:r w:rsidRPr="00C00360">
        <w:rPr>
          <w:rFonts w:eastAsia="Arial" w:cs="Arial"/>
          <w:szCs w:val="28"/>
        </w:rPr>
        <w:t>Baghdad</w:t>
      </w:r>
      <w:r w:rsidRPr="00C00360">
        <w:rPr>
          <w:rFonts w:eastAsia="Arial" w:cs="Arial"/>
          <w:spacing w:val="-2"/>
          <w:szCs w:val="28"/>
        </w:rPr>
        <w:t xml:space="preserve"> </w:t>
      </w:r>
      <w:r w:rsidRPr="00C00360">
        <w:rPr>
          <w:rFonts w:eastAsia="Arial" w:cs="Arial"/>
          <w:szCs w:val="28"/>
        </w:rPr>
        <w:t>in partial fulfillment of the requirements for B.D.S degree.</w:t>
      </w:r>
    </w:p>
    <w:p w:rsidR="00E6757B" w:rsidRPr="00C00360" w:rsidRDefault="00E6757B" w:rsidP="00E6757B">
      <w:pPr>
        <w:widowControl w:val="0"/>
        <w:autoSpaceDE w:val="0"/>
        <w:autoSpaceDN w:val="0"/>
        <w:spacing w:after="0"/>
        <w:jc w:val="left"/>
        <w:rPr>
          <w:rFonts w:eastAsia="Arial" w:cs="Arial"/>
          <w:szCs w:val="28"/>
        </w:rPr>
      </w:pPr>
    </w:p>
    <w:p w:rsidR="00E6757B" w:rsidRPr="00C00360" w:rsidRDefault="00E6757B" w:rsidP="00E6757B">
      <w:pPr>
        <w:widowControl w:val="0"/>
        <w:autoSpaceDE w:val="0"/>
        <w:autoSpaceDN w:val="0"/>
        <w:spacing w:after="0"/>
        <w:jc w:val="left"/>
        <w:rPr>
          <w:rFonts w:asciiTheme="minorBidi" w:eastAsia="Arial" w:hAnsiTheme="minorBidi"/>
          <w:szCs w:val="28"/>
        </w:rPr>
      </w:pPr>
    </w:p>
    <w:p w:rsidR="00E6757B" w:rsidRPr="00C00360" w:rsidRDefault="00E6757B" w:rsidP="00E6757B">
      <w:pPr>
        <w:widowControl w:val="0"/>
        <w:autoSpaceDE w:val="0"/>
        <w:autoSpaceDN w:val="0"/>
        <w:spacing w:after="0"/>
        <w:jc w:val="left"/>
        <w:rPr>
          <w:rFonts w:asciiTheme="minorBidi" w:eastAsia="Arial" w:hAnsiTheme="minorBidi"/>
          <w:szCs w:val="28"/>
        </w:rPr>
      </w:pPr>
    </w:p>
    <w:p w:rsidR="00E6757B" w:rsidRPr="00C00360" w:rsidRDefault="00E6757B" w:rsidP="00E6757B">
      <w:pPr>
        <w:widowControl w:val="0"/>
        <w:autoSpaceDE w:val="0"/>
        <w:autoSpaceDN w:val="0"/>
        <w:spacing w:after="0"/>
        <w:jc w:val="left"/>
        <w:rPr>
          <w:rFonts w:asciiTheme="minorBidi" w:eastAsia="Arial" w:hAnsiTheme="minorBidi"/>
          <w:szCs w:val="28"/>
        </w:rPr>
      </w:pPr>
    </w:p>
    <w:p w:rsidR="00E6757B" w:rsidRPr="00C00360" w:rsidRDefault="00E6757B" w:rsidP="00E6757B">
      <w:pPr>
        <w:widowControl w:val="0"/>
        <w:autoSpaceDE w:val="0"/>
        <w:autoSpaceDN w:val="0"/>
        <w:spacing w:after="0"/>
        <w:jc w:val="left"/>
        <w:rPr>
          <w:rFonts w:asciiTheme="minorBidi" w:eastAsia="Arial" w:hAnsiTheme="minorBidi"/>
          <w:szCs w:val="28"/>
        </w:rPr>
      </w:pPr>
    </w:p>
    <w:p w:rsidR="00E6757B" w:rsidRPr="00C00360" w:rsidRDefault="00E6757B" w:rsidP="00E6757B">
      <w:pPr>
        <w:widowControl w:val="0"/>
        <w:autoSpaceDE w:val="0"/>
        <w:autoSpaceDN w:val="0"/>
        <w:spacing w:after="0"/>
        <w:jc w:val="left"/>
        <w:rPr>
          <w:rFonts w:asciiTheme="minorBidi" w:eastAsia="Arial" w:hAnsiTheme="minorBidi"/>
          <w:szCs w:val="28"/>
        </w:rPr>
      </w:pPr>
    </w:p>
    <w:p w:rsidR="00E6757B" w:rsidRPr="00C00360" w:rsidRDefault="00E6757B" w:rsidP="00E6757B">
      <w:pPr>
        <w:widowControl w:val="0"/>
        <w:autoSpaceDE w:val="0"/>
        <w:autoSpaceDN w:val="0"/>
        <w:spacing w:after="0"/>
        <w:jc w:val="left"/>
        <w:rPr>
          <w:rFonts w:asciiTheme="minorBidi" w:eastAsia="Arial" w:hAnsiTheme="minorBidi"/>
          <w:szCs w:val="28"/>
        </w:rPr>
      </w:pPr>
    </w:p>
    <w:p w:rsidR="00E6757B" w:rsidRPr="00C00360" w:rsidRDefault="00E6757B" w:rsidP="00E6757B">
      <w:pPr>
        <w:widowControl w:val="0"/>
        <w:autoSpaceDE w:val="0"/>
        <w:autoSpaceDN w:val="0"/>
        <w:spacing w:after="0"/>
        <w:jc w:val="left"/>
        <w:rPr>
          <w:rFonts w:asciiTheme="minorBidi" w:eastAsia="Arial" w:hAnsiTheme="minorBidi"/>
          <w:szCs w:val="28"/>
        </w:rPr>
      </w:pPr>
    </w:p>
    <w:p w:rsidR="00E6757B" w:rsidRPr="00C00360" w:rsidRDefault="00E6757B" w:rsidP="00E6757B">
      <w:pPr>
        <w:widowControl w:val="0"/>
        <w:autoSpaceDE w:val="0"/>
        <w:autoSpaceDN w:val="0"/>
        <w:spacing w:after="0"/>
        <w:jc w:val="left"/>
        <w:rPr>
          <w:rFonts w:asciiTheme="minorBidi" w:eastAsia="Arial" w:hAnsiTheme="minorBidi"/>
          <w:szCs w:val="28"/>
        </w:rPr>
      </w:pPr>
    </w:p>
    <w:p w:rsidR="00E6757B" w:rsidRPr="00C00360" w:rsidRDefault="00E6757B" w:rsidP="00E6757B">
      <w:pPr>
        <w:widowControl w:val="0"/>
        <w:autoSpaceDE w:val="0"/>
        <w:autoSpaceDN w:val="0"/>
        <w:spacing w:after="0"/>
        <w:jc w:val="left"/>
        <w:outlineLvl w:val="1"/>
        <w:rPr>
          <w:rFonts w:asciiTheme="minorBidi" w:eastAsia="Arial" w:hAnsiTheme="minorBidi"/>
          <w:spacing w:val="-2"/>
          <w:szCs w:val="28"/>
        </w:rPr>
      </w:pPr>
      <w:r w:rsidRPr="00C00360">
        <w:rPr>
          <w:rFonts w:asciiTheme="minorBidi" w:eastAsia="Arial" w:hAnsiTheme="minorBidi"/>
          <w:spacing w:val="-2"/>
          <w:szCs w:val="28"/>
        </w:rPr>
        <w:t xml:space="preserve">Signature </w:t>
      </w:r>
    </w:p>
    <w:p w:rsidR="00E6757B" w:rsidRPr="00C00360" w:rsidRDefault="00E6757B" w:rsidP="00E6757B">
      <w:pPr>
        <w:widowControl w:val="0"/>
        <w:autoSpaceDE w:val="0"/>
        <w:autoSpaceDN w:val="0"/>
        <w:spacing w:after="0"/>
        <w:jc w:val="left"/>
        <w:rPr>
          <w:rFonts w:asciiTheme="minorBidi" w:eastAsia="Arial" w:hAnsiTheme="minorBidi"/>
          <w:b/>
          <w:bCs/>
          <w:szCs w:val="28"/>
          <w:rtl/>
        </w:rPr>
      </w:pPr>
      <w:r w:rsidRPr="00C00360">
        <w:rPr>
          <w:rFonts w:asciiTheme="minorBidi" w:eastAsia="Arial" w:hAnsiTheme="minorBidi"/>
          <w:b/>
          <w:bCs/>
          <w:szCs w:val="28"/>
        </w:rPr>
        <w:t xml:space="preserve">Asst. prof. Dr. Lamis A. </w:t>
      </w:r>
      <w:r w:rsidR="00B57098" w:rsidRPr="00C00360">
        <w:rPr>
          <w:rFonts w:asciiTheme="minorBidi" w:eastAsia="Arial" w:hAnsiTheme="minorBidi"/>
          <w:b/>
          <w:bCs/>
          <w:szCs w:val="28"/>
        </w:rPr>
        <w:t>Al-Taee</w:t>
      </w:r>
    </w:p>
    <w:p w:rsidR="00E6757B" w:rsidRPr="00C00360" w:rsidRDefault="00E6757B" w:rsidP="00E6757B">
      <w:pPr>
        <w:widowControl w:val="0"/>
        <w:autoSpaceDE w:val="0"/>
        <w:autoSpaceDN w:val="0"/>
        <w:spacing w:after="0"/>
        <w:jc w:val="left"/>
        <w:rPr>
          <w:rFonts w:asciiTheme="minorBidi" w:eastAsia="Arial" w:hAnsiTheme="minorBidi"/>
          <w:szCs w:val="28"/>
        </w:rPr>
      </w:pPr>
      <w:r w:rsidRPr="00C00360">
        <w:rPr>
          <w:rFonts w:asciiTheme="minorBidi" w:eastAsia="Arial" w:hAnsiTheme="minorBidi"/>
          <w:szCs w:val="28"/>
        </w:rPr>
        <w:t xml:space="preserve"> (The</w:t>
      </w:r>
      <w:r w:rsidRPr="00C00360">
        <w:rPr>
          <w:rFonts w:asciiTheme="minorBidi" w:eastAsia="Arial" w:hAnsiTheme="minorBidi"/>
          <w:spacing w:val="-10"/>
          <w:szCs w:val="28"/>
        </w:rPr>
        <w:t xml:space="preserve"> </w:t>
      </w:r>
      <w:r w:rsidRPr="00C00360">
        <w:rPr>
          <w:rFonts w:asciiTheme="minorBidi" w:eastAsia="Arial" w:hAnsiTheme="minorBidi"/>
          <w:spacing w:val="-2"/>
          <w:szCs w:val="28"/>
        </w:rPr>
        <w:t>Supervisor)</w:t>
      </w:r>
    </w:p>
    <w:p w:rsidR="00E6757B" w:rsidRDefault="00E6757B" w:rsidP="009C705D">
      <w:pPr>
        <w:spacing w:line="240" w:lineRule="auto"/>
        <w:jc w:val="center"/>
        <w:rPr>
          <w:b/>
          <w:bCs/>
          <w:sz w:val="48"/>
          <w:szCs w:val="48"/>
          <w:rtl/>
          <w:lang w:bidi="ar-IQ"/>
        </w:rPr>
      </w:pPr>
    </w:p>
    <w:p w:rsidR="00E6757B" w:rsidRDefault="00E6757B" w:rsidP="009C705D">
      <w:pPr>
        <w:spacing w:line="240" w:lineRule="auto"/>
        <w:jc w:val="center"/>
        <w:rPr>
          <w:b/>
          <w:bCs/>
          <w:sz w:val="48"/>
          <w:szCs w:val="48"/>
          <w:rtl/>
          <w:lang w:bidi="ar-IQ"/>
        </w:rPr>
      </w:pPr>
    </w:p>
    <w:p w:rsidR="00E6757B" w:rsidRDefault="00E6757B" w:rsidP="009C705D">
      <w:pPr>
        <w:spacing w:line="240" w:lineRule="auto"/>
        <w:jc w:val="center"/>
        <w:rPr>
          <w:b/>
          <w:bCs/>
          <w:sz w:val="48"/>
          <w:szCs w:val="48"/>
          <w:rtl/>
          <w:lang w:bidi="ar-IQ"/>
        </w:rPr>
      </w:pPr>
    </w:p>
    <w:p w:rsidR="00E6757B" w:rsidRDefault="00E6757B" w:rsidP="009C705D">
      <w:pPr>
        <w:spacing w:line="240" w:lineRule="auto"/>
        <w:jc w:val="center"/>
        <w:rPr>
          <w:b/>
          <w:bCs/>
          <w:sz w:val="48"/>
          <w:szCs w:val="48"/>
          <w:rtl/>
          <w:lang w:bidi="ar-IQ"/>
        </w:rPr>
      </w:pPr>
    </w:p>
    <w:p w:rsidR="00E6757B" w:rsidRDefault="00E6757B" w:rsidP="009C705D">
      <w:pPr>
        <w:spacing w:line="240" w:lineRule="auto"/>
        <w:jc w:val="center"/>
        <w:rPr>
          <w:b/>
          <w:bCs/>
          <w:sz w:val="48"/>
          <w:szCs w:val="48"/>
          <w:rtl/>
          <w:lang w:bidi="ar-IQ"/>
        </w:rPr>
      </w:pPr>
    </w:p>
    <w:p w:rsidR="00E6757B" w:rsidRPr="00C00360" w:rsidRDefault="00E6757B" w:rsidP="00B57098">
      <w:pPr>
        <w:pStyle w:val="Heading1"/>
        <w:spacing w:before="0"/>
        <w:jc w:val="center"/>
        <w:rPr>
          <w:rFonts w:asciiTheme="minorBidi" w:hAnsiTheme="minorBidi" w:cstheme="minorBidi"/>
          <w:sz w:val="36"/>
          <w:szCs w:val="36"/>
        </w:rPr>
      </w:pPr>
      <w:r w:rsidRPr="00C00360">
        <w:rPr>
          <w:rFonts w:asciiTheme="minorBidi" w:hAnsiTheme="minorBidi" w:cstheme="minorBidi"/>
          <w:spacing w:val="-2"/>
          <w:sz w:val="36"/>
          <w:szCs w:val="36"/>
        </w:rPr>
        <w:t>Dedication</w:t>
      </w:r>
    </w:p>
    <w:p w:rsidR="00E6757B" w:rsidRDefault="00E6757B" w:rsidP="00E6757B">
      <w:pPr>
        <w:ind w:left="240"/>
        <w:rPr>
          <w:rFonts w:asciiTheme="majorBidi" w:hAnsiTheme="majorBidi" w:cstheme="majorBidi"/>
          <w:b/>
          <w:i/>
          <w:szCs w:val="28"/>
        </w:rPr>
      </w:pPr>
    </w:p>
    <w:p w:rsidR="00E6757B" w:rsidRPr="00C00360" w:rsidRDefault="00E6757B" w:rsidP="00C00360">
      <w:pPr>
        <w:ind w:left="240"/>
        <w:rPr>
          <w:rFonts w:asciiTheme="minorBidi" w:hAnsiTheme="minorBidi"/>
          <w:b/>
          <w:i/>
          <w:szCs w:val="28"/>
        </w:rPr>
      </w:pPr>
      <w:r w:rsidRPr="00C00360">
        <w:rPr>
          <w:rFonts w:asciiTheme="minorBidi" w:hAnsiTheme="minorBidi"/>
          <w:b/>
          <w:i/>
          <w:szCs w:val="28"/>
        </w:rPr>
        <w:t>To</w:t>
      </w:r>
      <w:r w:rsidRPr="00C00360">
        <w:rPr>
          <w:rFonts w:asciiTheme="minorBidi" w:hAnsiTheme="minorBidi"/>
          <w:b/>
          <w:i/>
          <w:spacing w:val="-6"/>
          <w:szCs w:val="28"/>
        </w:rPr>
        <w:t xml:space="preserve"> </w:t>
      </w:r>
      <w:r w:rsidRPr="00C00360">
        <w:rPr>
          <w:rFonts w:asciiTheme="minorBidi" w:hAnsiTheme="minorBidi"/>
          <w:b/>
          <w:i/>
          <w:szCs w:val="28"/>
        </w:rPr>
        <w:t>my</w:t>
      </w:r>
      <w:r w:rsidRPr="00C00360">
        <w:rPr>
          <w:rFonts w:asciiTheme="minorBidi" w:hAnsiTheme="minorBidi"/>
          <w:b/>
          <w:i/>
          <w:spacing w:val="-3"/>
          <w:szCs w:val="28"/>
        </w:rPr>
        <w:t xml:space="preserve"> </w:t>
      </w:r>
      <w:r w:rsidRPr="00C00360">
        <w:rPr>
          <w:rFonts w:asciiTheme="minorBidi" w:hAnsiTheme="minorBidi"/>
          <w:b/>
          <w:i/>
          <w:szCs w:val="28"/>
        </w:rPr>
        <w:t>parents,</w:t>
      </w:r>
      <w:r w:rsidRPr="00C00360">
        <w:rPr>
          <w:rFonts w:asciiTheme="minorBidi" w:hAnsiTheme="minorBidi"/>
          <w:b/>
          <w:i/>
          <w:spacing w:val="-4"/>
          <w:szCs w:val="28"/>
        </w:rPr>
        <w:t xml:space="preserve"> </w:t>
      </w:r>
      <w:r w:rsidRPr="00C00360">
        <w:rPr>
          <w:rFonts w:asciiTheme="minorBidi" w:hAnsiTheme="minorBidi"/>
          <w:b/>
          <w:i/>
          <w:szCs w:val="28"/>
        </w:rPr>
        <w:t>who</w:t>
      </w:r>
      <w:r w:rsidRPr="00C00360">
        <w:rPr>
          <w:rFonts w:asciiTheme="minorBidi" w:hAnsiTheme="minorBidi"/>
          <w:b/>
          <w:i/>
          <w:spacing w:val="-6"/>
          <w:szCs w:val="28"/>
        </w:rPr>
        <w:t xml:space="preserve"> </w:t>
      </w:r>
      <w:r w:rsidRPr="00C00360">
        <w:rPr>
          <w:rFonts w:asciiTheme="minorBidi" w:hAnsiTheme="minorBidi"/>
          <w:b/>
          <w:i/>
          <w:szCs w:val="28"/>
        </w:rPr>
        <w:t>never</w:t>
      </w:r>
      <w:r w:rsidRPr="00C00360">
        <w:rPr>
          <w:rFonts w:asciiTheme="minorBidi" w:hAnsiTheme="minorBidi"/>
          <w:b/>
          <w:i/>
          <w:spacing w:val="-2"/>
          <w:szCs w:val="28"/>
        </w:rPr>
        <w:t xml:space="preserve"> </w:t>
      </w:r>
      <w:r w:rsidRPr="00C00360">
        <w:rPr>
          <w:rFonts w:asciiTheme="minorBidi" w:hAnsiTheme="minorBidi"/>
          <w:b/>
          <w:i/>
          <w:szCs w:val="28"/>
        </w:rPr>
        <w:t>stop</w:t>
      </w:r>
      <w:r w:rsidRPr="00C00360">
        <w:rPr>
          <w:rFonts w:asciiTheme="minorBidi" w:hAnsiTheme="minorBidi"/>
          <w:b/>
          <w:i/>
          <w:spacing w:val="-10"/>
          <w:szCs w:val="28"/>
        </w:rPr>
        <w:t xml:space="preserve"> </w:t>
      </w:r>
      <w:r w:rsidRPr="00C00360">
        <w:rPr>
          <w:rFonts w:asciiTheme="minorBidi" w:hAnsiTheme="minorBidi"/>
          <w:b/>
          <w:i/>
          <w:szCs w:val="28"/>
        </w:rPr>
        <w:t>giving</w:t>
      </w:r>
      <w:r w:rsidRPr="00C00360">
        <w:rPr>
          <w:rFonts w:asciiTheme="minorBidi" w:hAnsiTheme="minorBidi"/>
          <w:b/>
          <w:i/>
          <w:spacing w:val="-6"/>
          <w:szCs w:val="28"/>
        </w:rPr>
        <w:t xml:space="preserve"> </w:t>
      </w:r>
      <w:r w:rsidRPr="00C00360">
        <w:rPr>
          <w:rFonts w:asciiTheme="minorBidi" w:hAnsiTheme="minorBidi"/>
          <w:b/>
          <w:i/>
          <w:szCs w:val="28"/>
        </w:rPr>
        <w:t>of</w:t>
      </w:r>
      <w:r w:rsidRPr="00C00360">
        <w:rPr>
          <w:rFonts w:asciiTheme="minorBidi" w:hAnsiTheme="minorBidi"/>
          <w:b/>
          <w:i/>
          <w:spacing w:val="-3"/>
          <w:szCs w:val="28"/>
        </w:rPr>
        <w:t xml:space="preserve"> </w:t>
      </w:r>
      <w:r w:rsidRPr="00C00360">
        <w:rPr>
          <w:rFonts w:asciiTheme="minorBidi" w:hAnsiTheme="minorBidi"/>
          <w:b/>
          <w:i/>
          <w:szCs w:val="28"/>
        </w:rPr>
        <w:t>themselves in countless ways</w:t>
      </w:r>
      <w:r w:rsidR="00C00360" w:rsidRPr="00C00360">
        <w:rPr>
          <w:rFonts w:asciiTheme="minorBidi" w:hAnsiTheme="minorBidi"/>
          <w:b/>
          <w:i/>
          <w:szCs w:val="28"/>
        </w:rPr>
        <w:t>.</w:t>
      </w:r>
    </w:p>
    <w:p w:rsidR="00E6757B" w:rsidRPr="00C00360" w:rsidRDefault="00E6757B" w:rsidP="00C00360">
      <w:pPr>
        <w:ind w:left="240"/>
        <w:rPr>
          <w:rFonts w:asciiTheme="minorBidi" w:hAnsiTheme="minorBidi"/>
          <w:b/>
          <w:i/>
          <w:szCs w:val="28"/>
        </w:rPr>
      </w:pPr>
      <w:r w:rsidRPr="00C00360">
        <w:rPr>
          <w:rFonts w:asciiTheme="minorBidi" w:hAnsiTheme="minorBidi"/>
          <w:b/>
          <w:i/>
          <w:szCs w:val="28"/>
        </w:rPr>
        <w:t>To</w:t>
      </w:r>
      <w:r w:rsidRPr="00C00360">
        <w:rPr>
          <w:rFonts w:asciiTheme="minorBidi" w:hAnsiTheme="minorBidi"/>
          <w:b/>
          <w:i/>
          <w:spacing w:val="-7"/>
          <w:szCs w:val="28"/>
        </w:rPr>
        <w:t xml:space="preserve"> </w:t>
      </w:r>
      <w:r w:rsidRPr="00C00360">
        <w:rPr>
          <w:rFonts w:asciiTheme="minorBidi" w:hAnsiTheme="minorBidi"/>
          <w:b/>
          <w:i/>
          <w:szCs w:val="28"/>
        </w:rPr>
        <w:t>my</w:t>
      </w:r>
      <w:r w:rsidRPr="00C00360">
        <w:rPr>
          <w:rFonts w:asciiTheme="minorBidi" w:hAnsiTheme="minorBidi"/>
          <w:b/>
          <w:i/>
          <w:spacing w:val="-3"/>
          <w:szCs w:val="28"/>
        </w:rPr>
        <w:t xml:space="preserve"> </w:t>
      </w:r>
      <w:r w:rsidRPr="00C00360">
        <w:rPr>
          <w:rFonts w:asciiTheme="minorBidi" w:hAnsiTheme="minorBidi"/>
          <w:b/>
          <w:i/>
          <w:szCs w:val="28"/>
        </w:rPr>
        <w:t>second family</w:t>
      </w:r>
      <w:r w:rsidRPr="00C00360">
        <w:rPr>
          <w:rFonts w:asciiTheme="minorBidi" w:hAnsiTheme="minorBidi"/>
          <w:b/>
          <w:i/>
          <w:spacing w:val="-7"/>
          <w:szCs w:val="28"/>
        </w:rPr>
        <w:t xml:space="preserve"> </w:t>
      </w:r>
      <w:r w:rsidRPr="00C00360">
        <w:rPr>
          <w:rFonts w:asciiTheme="minorBidi" w:hAnsiTheme="minorBidi"/>
          <w:b/>
          <w:i/>
          <w:szCs w:val="28"/>
        </w:rPr>
        <w:t xml:space="preserve">in </w:t>
      </w:r>
      <w:r w:rsidRPr="00C00360">
        <w:rPr>
          <w:rFonts w:asciiTheme="minorBidi" w:hAnsiTheme="minorBidi"/>
          <w:b/>
          <w:i/>
          <w:spacing w:val="-2"/>
          <w:szCs w:val="28"/>
        </w:rPr>
        <w:t>college</w:t>
      </w:r>
      <w:r w:rsidR="00C00360" w:rsidRPr="00C00360">
        <w:rPr>
          <w:rFonts w:asciiTheme="minorBidi" w:hAnsiTheme="minorBidi"/>
          <w:b/>
          <w:i/>
          <w:spacing w:val="-2"/>
          <w:szCs w:val="28"/>
        </w:rPr>
        <w:t>.</w:t>
      </w:r>
    </w:p>
    <w:p w:rsidR="00E6757B" w:rsidRPr="00C00360" w:rsidRDefault="00E6757B" w:rsidP="00B57098">
      <w:pPr>
        <w:ind w:left="240"/>
        <w:rPr>
          <w:rFonts w:asciiTheme="minorBidi" w:hAnsiTheme="minorBidi"/>
          <w:b/>
          <w:i/>
          <w:szCs w:val="28"/>
        </w:rPr>
      </w:pPr>
      <w:r w:rsidRPr="00C00360">
        <w:rPr>
          <w:rFonts w:asciiTheme="minorBidi" w:hAnsiTheme="minorBidi"/>
          <w:b/>
          <w:i/>
          <w:szCs w:val="28"/>
        </w:rPr>
        <w:t>To my supervisor for h</w:t>
      </w:r>
      <w:r w:rsidR="00B57098">
        <w:rPr>
          <w:rFonts w:asciiTheme="minorBidi" w:hAnsiTheme="minorBidi"/>
          <w:b/>
          <w:i/>
          <w:szCs w:val="28"/>
        </w:rPr>
        <w:t xml:space="preserve">er </w:t>
      </w:r>
      <w:r w:rsidRPr="00C00360">
        <w:rPr>
          <w:rFonts w:asciiTheme="minorBidi" w:hAnsiTheme="minorBidi"/>
          <w:b/>
          <w:i/>
          <w:szCs w:val="28"/>
        </w:rPr>
        <w:t>guidance, encouragement,</w:t>
      </w:r>
      <w:r w:rsidRPr="00C00360">
        <w:rPr>
          <w:rFonts w:asciiTheme="minorBidi" w:hAnsiTheme="minorBidi"/>
          <w:b/>
          <w:i/>
          <w:spacing w:val="-4"/>
          <w:szCs w:val="28"/>
        </w:rPr>
        <w:t xml:space="preserve"> </w:t>
      </w:r>
      <w:r w:rsidRPr="00C00360">
        <w:rPr>
          <w:rFonts w:asciiTheme="minorBidi" w:hAnsiTheme="minorBidi"/>
          <w:b/>
          <w:i/>
          <w:szCs w:val="28"/>
        </w:rPr>
        <w:t>help</w:t>
      </w:r>
      <w:r w:rsidRPr="00C00360">
        <w:rPr>
          <w:rFonts w:asciiTheme="minorBidi" w:hAnsiTheme="minorBidi"/>
          <w:b/>
          <w:i/>
          <w:spacing w:val="-3"/>
          <w:szCs w:val="28"/>
        </w:rPr>
        <w:t xml:space="preserve"> </w:t>
      </w:r>
      <w:r w:rsidRPr="00C00360">
        <w:rPr>
          <w:rFonts w:asciiTheme="minorBidi" w:hAnsiTheme="minorBidi"/>
          <w:b/>
          <w:i/>
          <w:szCs w:val="28"/>
        </w:rPr>
        <w:t>&amp;</w:t>
      </w:r>
      <w:r w:rsidRPr="00C00360">
        <w:rPr>
          <w:rFonts w:asciiTheme="minorBidi" w:hAnsiTheme="minorBidi"/>
          <w:b/>
          <w:i/>
          <w:spacing w:val="-4"/>
          <w:szCs w:val="28"/>
        </w:rPr>
        <w:t xml:space="preserve"> </w:t>
      </w:r>
      <w:r w:rsidRPr="00C00360">
        <w:rPr>
          <w:rFonts w:asciiTheme="minorBidi" w:hAnsiTheme="minorBidi"/>
          <w:b/>
          <w:i/>
          <w:szCs w:val="28"/>
        </w:rPr>
        <w:t>support</w:t>
      </w:r>
      <w:r w:rsidR="00C00360" w:rsidRPr="00C00360">
        <w:rPr>
          <w:rFonts w:asciiTheme="minorBidi" w:hAnsiTheme="minorBidi"/>
          <w:b/>
          <w:i/>
          <w:szCs w:val="28"/>
        </w:rPr>
        <w:t>.</w:t>
      </w:r>
    </w:p>
    <w:p w:rsidR="00E6757B" w:rsidRPr="00C00360" w:rsidRDefault="00E6757B" w:rsidP="009C705D">
      <w:pPr>
        <w:spacing w:line="240" w:lineRule="auto"/>
        <w:jc w:val="center"/>
        <w:rPr>
          <w:rFonts w:asciiTheme="minorBidi" w:hAnsiTheme="minorBidi"/>
          <w:b/>
          <w:bCs/>
          <w:sz w:val="48"/>
          <w:szCs w:val="48"/>
          <w:rtl/>
          <w:lang w:bidi="ar-IQ"/>
        </w:rPr>
      </w:pPr>
    </w:p>
    <w:p w:rsidR="00E6757B" w:rsidRDefault="00E6757B" w:rsidP="009C705D">
      <w:pPr>
        <w:spacing w:line="240" w:lineRule="auto"/>
        <w:jc w:val="center"/>
        <w:rPr>
          <w:b/>
          <w:bCs/>
          <w:sz w:val="48"/>
          <w:szCs w:val="48"/>
          <w:rtl/>
          <w:lang w:bidi="ar-IQ"/>
        </w:rPr>
      </w:pPr>
    </w:p>
    <w:p w:rsidR="00E6757B" w:rsidRDefault="00E6757B" w:rsidP="009C705D">
      <w:pPr>
        <w:spacing w:line="240" w:lineRule="auto"/>
        <w:jc w:val="center"/>
        <w:rPr>
          <w:b/>
          <w:bCs/>
          <w:sz w:val="48"/>
          <w:szCs w:val="48"/>
          <w:rtl/>
          <w:lang w:bidi="ar-IQ"/>
        </w:rPr>
      </w:pPr>
    </w:p>
    <w:p w:rsidR="00E6757B" w:rsidRDefault="00E6757B" w:rsidP="009C705D">
      <w:pPr>
        <w:spacing w:line="240" w:lineRule="auto"/>
        <w:jc w:val="center"/>
        <w:rPr>
          <w:b/>
          <w:bCs/>
          <w:sz w:val="48"/>
          <w:szCs w:val="48"/>
          <w:rtl/>
          <w:lang w:bidi="ar-IQ"/>
        </w:rPr>
      </w:pPr>
    </w:p>
    <w:p w:rsidR="00E6757B" w:rsidRDefault="00E6757B" w:rsidP="009C705D">
      <w:pPr>
        <w:spacing w:line="240" w:lineRule="auto"/>
        <w:jc w:val="center"/>
        <w:rPr>
          <w:b/>
          <w:bCs/>
          <w:sz w:val="48"/>
          <w:szCs w:val="48"/>
          <w:rtl/>
          <w:lang w:bidi="ar-IQ"/>
        </w:rPr>
      </w:pPr>
    </w:p>
    <w:p w:rsidR="00E6757B" w:rsidRDefault="00E6757B" w:rsidP="009C705D">
      <w:pPr>
        <w:spacing w:line="240" w:lineRule="auto"/>
        <w:jc w:val="center"/>
        <w:rPr>
          <w:b/>
          <w:bCs/>
          <w:sz w:val="48"/>
          <w:szCs w:val="48"/>
          <w:rtl/>
          <w:lang w:bidi="ar-IQ"/>
        </w:rPr>
      </w:pPr>
    </w:p>
    <w:p w:rsidR="00E6757B" w:rsidRDefault="00E6757B" w:rsidP="009C705D">
      <w:pPr>
        <w:spacing w:line="240" w:lineRule="auto"/>
        <w:jc w:val="center"/>
        <w:rPr>
          <w:b/>
          <w:bCs/>
          <w:sz w:val="48"/>
          <w:szCs w:val="48"/>
          <w:rtl/>
          <w:lang w:bidi="ar-IQ"/>
        </w:rPr>
      </w:pPr>
    </w:p>
    <w:p w:rsidR="00E6757B" w:rsidRDefault="00E6757B" w:rsidP="009C705D">
      <w:pPr>
        <w:spacing w:line="240" w:lineRule="auto"/>
        <w:jc w:val="center"/>
        <w:rPr>
          <w:b/>
          <w:bCs/>
          <w:sz w:val="48"/>
          <w:szCs w:val="48"/>
          <w:rtl/>
          <w:lang w:bidi="ar-IQ"/>
        </w:rPr>
      </w:pPr>
    </w:p>
    <w:p w:rsidR="00E6757B" w:rsidRDefault="00E6757B" w:rsidP="009C705D">
      <w:pPr>
        <w:spacing w:line="240" w:lineRule="auto"/>
        <w:jc w:val="center"/>
        <w:rPr>
          <w:b/>
          <w:bCs/>
          <w:sz w:val="48"/>
          <w:szCs w:val="48"/>
          <w:rtl/>
          <w:lang w:bidi="ar-IQ"/>
        </w:rPr>
      </w:pPr>
    </w:p>
    <w:p w:rsidR="00E6757B" w:rsidRDefault="00E6757B" w:rsidP="009C705D">
      <w:pPr>
        <w:spacing w:line="240" w:lineRule="auto"/>
        <w:jc w:val="center"/>
        <w:rPr>
          <w:b/>
          <w:bCs/>
          <w:sz w:val="48"/>
          <w:szCs w:val="48"/>
          <w:rtl/>
          <w:lang w:bidi="ar-IQ"/>
        </w:rPr>
      </w:pPr>
    </w:p>
    <w:p w:rsidR="00E6757B" w:rsidRDefault="00E6757B" w:rsidP="009C705D">
      <w:pPr>
        <w:spacing w:line="240" w:lineRule="auto"/>
        <w:jc w:val="center"/>
        <w:rPr>
          <w:b/>
          <w:bCs/>
          <w:sz w:val="48"/>
          <w:szCs w:val="48"/>
          <w:rtl/>
          <w:lang w:bidi="ar-IQ"/>
        </w:rPr>
      </w:pPr>
    </w:p>
    <w:p w:rsidR="00E6757B" w:rsidRDefault="00E6757B" w:rsidP="009C705D">
      <w:pPr>
        <w:spacing w:line="240" w:lineRule="auto"/>
        <w:jc w:val="center"/>
        <w:rPr>
          <w:b/>
          <w:bCs/>
          <w:sz w:val="48"/>
          <w:szCs w:val="48"/>
          <w:rtl/>
          <w:lang w:bidi="ar-IQ"/>
        </w:rPr>
      </w:pPr>
    </w:p>
    <w:p w:rsidR="00E6757B" w:rsidRDefault="00E6757B" w:rsidP="009C705D">
      <w:pPr>
        <w:spacing w:line="240" w:lineRule="auto"/>
        <w:jc w:val="center"/>
        <w:rPr>
          <w:b/>
          <w:bCs/>
          <w:sz w:val="48"/>
          <w:szCs w:val="48"/>
          <w:rtl/>
          <w:lang w:bidi="ar-IQ"/>
        </w:rPr>
      </w:pPr>
    </w:p>
    <w:p w:rsidR="00E6757B" w:rsidRPr="00C00360" w:rsidRDefault="00E6757B" w:rsidP="00E6757B">
      <w:pPr>
        <w:pStyle w:val="Heading1"/>
        <w:spacing w:before="0"/>
        <w:jc w:val="center"/>
        <w:rPr>
          <w:rFonts w:asciiTheme="minorBidi" w:hAnsiTheme="minorBidi" w:cstheme="minorBidi"/>
          <w:sz w:val="36"/>
          <w:szCs w:val="36"/>
        </w:rPr>
      </w:pPr>
      <w:r w:rsidRPr="00C00360">
        <w:rPr>
          <w:rFonts w:asciiTheme="minorBidi" w:hAnsiTheme="minorBidi" w:cstheme="minorBidi"/>
          <w:spacing w:val="-2"/>
          <w:sz w:val="36"/>
          <w:szCs w:val="36"/>
        </w:rPr>
        <w:lastRenderedPageBreak/>
        <w:t>Acknowledgment</w:t>
      </w:r>
    </w:p>
    <w:p w:rsidR="00E6757B" w:rsidRDefault="00E6757B" w:rsidP="00E6757B">
      <w:pPr>
        <w:pStyle w:val="BodyText"/>
        <w:spacing w:line="360" w:lineRule="auto"/>
        <w:ind w:left="245"/>
        <w:rPr>
          <w:rFonts w:asciiTheme="majorBidi" w:hAnsiTheme="majorBidi" w:cstheme="majorBidi"/>
        </w:rPr>
      </w:pPr>
    </w:p>
    <w:p w:rsidR="00E6757B" w:rsidRPr="00C00360" w:rsidRDefault="00E6757B" w:rsidP="00C00360">
      <w:pPr>
        <w:pStyle w:val="BodyText"/>
        <w:spacing w:after="120" w:line="360" w:lineRule="auto"/>
        <w:ind w:left="0"/>
        <w:jc w:val="both"/>
        <w:rPr>
          <w:rFonts w:asciiTheme="minorBidi" w:hAnsiTheme="minorBidi" w:cstheme="minorBidi"/>
        </w:rPr>
      </w:pPr>
      <w:r w:rsidRPr="00C00360">
        <w:rPr>
          <w:rFonts w:asciiTheme="minorBidi" w:hAnsiTheme="minorBidi" w:cstheme="minorBidi"/>
        </w:rPr>
        <w:t>In</w:t>
      </w:r>
      <w:r w:rsidRPr="00C00360">
        <w:rPr>
          <w:rFonts w:asciiTheme="minorBidi" w:hAnsiTheme="minorBidi" w:cstheme="minorBidi"/>
          <w:spacing w:val="-8"/>
        </w:rPr>
        <w:t xml:space="preserve"> </w:t>
      </w:r>
      <w:r w:rsidRPr="00C00360">
        <w:rPr>
          <w:rFonts w:asciiTheme="minorBidi" w:hAnsiTheme="minorBidi" w:cstheme="minorBidi"/>
        </w:rPr>
        <w:t>the</w:t>
      </w:r>
      <w:r w:rsidRPr="00C00360">
        <w:rPr>
          <w:rFonts w:asciiTheme="minorBidi" w:hAnsiTheme="minorBidi" w:cstheme="minorBidi"/>
          <w:spacing w:val="-7"/>
        </w:rPr>
        <w:t xml:space="preserve"> </w:t>
      </w:r>
      <w:r w:rsidRPr="00C00360">
        <w:rPr>
          <w:rFonts w:asciiTheme="minorBidi" w:hAnsiTheme="minorBidi" w:cstheme="minorBidi"/>
        </w:rPr>
        <w:t>Name</w:t>
      </w:r>
      <w:r w:rsidRPr="00C00360">
        <w:rPr>
          <w:rFonts w:asciiTheme="minorBidi" w:hAnsiTheme="minorBidi" w:cstheme="minorBidi"/>
          <w:spacing w:val="-7"/>
        </w:rPr>
        <w:t xml:space="preserve"> </w:t>
      </w:r>
      <w:r w:rsidRPr="00C00360">
        <w:rPr>
          <w:rFonts w:asciiTheme="minorBidi" w:hAnsiTheme="minorBidi" w:cstheme="minorBidi"/>
        </w:rPr>
        <w:t>of</w:t>
      </w:r>
      <w:r w:rsidRPr="00C00360">
        <w:rPr>
          <w:rFonts w:asciiTheme="minorBidi" w:hAnsiTheme="minorBidi" w:cstheme="minorBidi"/>
          <w:spacing w:val="-6"/>
        </w:rPr>
        <w:t xml:space="preserve"> </w:t>
      </w:r>
      <w:r w:rsidRPr="00C00360">
        <w:rPr>
          <w:rFonts w:asciiTheme="minorBidi" w:hAnsiTheme="minorBidi" w:cstheme="minorBidi"/>
        </w:rPr>
        <w:t>Allah,</w:t>
      </w:r>
      <w:r w:rsidRPr="00C00360">
        <w:rPr>
          <w:rFonts w:asciiTheme="minorBidi" w:hAnsiTheme="minorBidi" w:cstheme="minorBidi"/>
          <w:spacing w:val="-5"/>
        </w:rPr>
        <w:t xml:space="preserve"> </w:t>
      </w:r>
      <w:r w:rsidRPr="00C00360">
        <w:rPr>
          <w:rFonts w:asciiTheme="minorBidi" w:hAnsiTheme="minorBidi" w:cstheme="minorBidi"/>
        </w:rPr>
        <w:t>the</w:t>
      </w:r>
      <w:r w:rsidRPr="00C00360">
        <w:rPr>
          <w:rFonts w:asciiTheme="minorBidi" w:hAnsiTheme="minorBidi" w:cstheme="minorBidi"/>
          <w:spacing w:val="-3"/>
        </w:rPr>
        <w:t xml:space="preserve"> </w:t>
      </w:r>
      <w:r w:rsidRPr="00C00360">
        <w:rPr>
          <w:rFonts w:asciiTheme="minorBidi" w:hAnsiTheme="minorBidi" w:cstheme="minorBidi"/>
        </w:rPr>
        <w:t>Most</w:t>
      </w:r>
      <w:r w:rsidRPr="00C00360">
        <w:rPr>
          <w:rFonts w:asciiTheme="minorBidi" w:hAnsiTheme="minorBidi" w:cstheme="minorBidi"/>
          <w:spacing w:val="-2"/>
        </w:rPr>
        <w:t xml:space="preserve"> </w:t>
      </w:r>
      <w:r w:rsidRPr="00C00360">
        <w:rPr>
          <w:rFonts w:asciiTheme="minorBidi" w:hAnsiTheme="minorBidi" w:cstheme="minorBidi"/>
        </w:rPr>
        <w:t>Merciful, the</w:t>
      </w:r>
      <w:r w:rsidRPr="00C00360">
        <w:rPr>
          <w:rFonts w:asciiTheme="minorBidi" w:hAnsiTheme="minorBidi" w:cstheme="minorBidi"/>
          <w:spacing w:val="-3"/>
        </w:rPr>
        <w:t xml:space="preserve"> </w:t>
      </w:r>
      <w:r w:rsidRPr="00C00360">
        <w:rPr>
          <w:rFonts w:asciiTheme="minorBidi" w:hAnsiTheme="minorBidi" w:cstheme="minorBidi"/>
          <w:spacing w:val="-4"/>
        </w:rPr>
        <w:t>Most</w:t>
      </w:r>
      <w:r w:rsidR="00C00360" w:rsidRPr="00C00360">
        <w:rPr>
          <w:rFonts w:asciiTheme="minorBidi" w:hAnsiTheme="minorBidi" w:cstheme="minorBidi"/>
          <w:spacing w:val="-4"/>
        </w:rPr>
        <w:t xml:space="preserve"> </w:t>
      </w:r>
      <w:r w:rsidRPr="00C00360">
        <w:rPr>
          <w:rFonts w:asciiTheme="minorBidi" w:hAnsiTheme="minorBidi" w:cstheme="minorBidi"/>
        </w:rPr>
        <w:t>Compassionate all praise be to Allah, the Lord of the worlds; and prayers</w:t>
      </w:r>
      <w:r w:rsidRPr="00C00360">
        <w:rPr>
          <w:rFonts w:asciiTheme="minorBidi" w:hAnsiTheme="minorBidi" w:cstheme="minorBidi"/>
          <w:spacing w:val="-2"/>
        </w:rPr>
        <w:t xml:space="preserve"> </w:t>
      </w:r>
      <w:r w:rsidRPr="00C00360">
        <w:rPr>
          <w:rFonts w:asciiTheme="minorBidi" w:hAnsiTheme="minorBidi" w:cstheme="minorBidi"/>
        </w:rPr>
        <w:t>and</w:t>
      </w:r>
      <w:r w:rsidRPr="00C00360">
        <w:rPr>
          <w:rFonts w:asciiTheme="minorBidi" w:hAnsiTheme="minorBidi" w:cstheme="minorBidi"/>
          <w:spacing w:val="-3"/>
        </w:rPr>
        <w:t xml:space="preserve"> </w:t>
      </w:r>
      <w:r w:rsidRPr="00C00360">
        <w:rPr>
          <w:rFonts w:asciiTheme="minorBidi" w:hAnsiTheme="minorBidi" w:cstheme="minorBidi"/>
        </w:rPr>
        <w:t>peace</w:t>
      </w:r>
      <w:r w:rsidRPr="00C00360">
        <w:rPr>
          <w:rFonts w:asciiTheme="minorBidi" w:hAnsiTheme="minorBidi" w:cstheme="minorBidi"/>
          <w:spacing w:val="-3"/>
        </w:rPr>
        <w:t xml:space="preserve"> </w:t>
      </w:r>
      <w:r w:rsidRPr="00C00360">
        <w:rPr>
          <w:rFonts w:asciiTheme="minorBidi" w:hAnsiTheme="minorBidi" w:cstheme="minorBidi"/>
        </w:rPr>
        <w:t>be</w:t>
      </w:r>
      <w:r w:rsidRPr="00C00360">
        <w:rPr>
          <w:rFonts w:asciiTheme="minorBidi" w:hAnsiTheme="minorBidi" w:cstheme="minorBidi"/>
          <w:spacing w:val="-4"/>
        </w:rPr>
        <w:t xml:space="preserve"> </w:t>
      </w:r>
      <w:r w:rsidRPr="00C00360">
        <w:rPr>
          <w:rFonts w:asciiTheme="minorBidi" w:hAnsiTheme="minorBidi" w:cstheme="minorBidi"/>
        </w:rPr>
        <w:t>upon</w:t>
      </w:r>
      <w:r w:rsidRPr="00C00360">
        <w:rPr>
          <w:rFonts w:asciiTheme="minorBidi" w:hAnsiTheme="minorBidi" w:cstheme="minorBidi"/>
          <w:spacing w:val="-3"/>
        </w:rPr>
        <w:t xml:space="preserve"> </w:t>
      </w:r>
      <w:r w:rsidRPr="00C00360">
        <w:rPr>
          <w:rFonts w:asciiTheme="minorBidi" w:hAnsiTheme="minorBidi" w:cstheme="minorBidi"/>
        </w:rPr>
        <w:t>Mohamed</w:t>
      </w:r>
      <w:r w:rsidRPr="00C00360">
        <w:rPr>
          <w:rFonts w:asciiTheme="minorBidi" w:hAnsiTheme="minorBidi" w:cstheme="minorBidi"/>
          <w:spacing w:val="-3"/>
        </w:rPr>
        <w:t xml:space="preserve"> </w:t>
      </w:r>
      <w:r w:rsidRPr="00C00360">
        <w:rPr>
          <w:rFonts w:asciiTheme="minorBidi" w:hAnsiTheme="minorBidi" w:cstheme="minorBidi"/>
        </w:rPr>
        <w:t>His</w:t>
      </w:r>
      <w:r w:rsidRPr="00C00360">
        <w:rPr>
          <w:rFonts w:asciiTheme="minorBidi" w:hAnsiTheme="minorBidi" w:cstheme="minorBidi"/>
          <w:spacing w:val="-8"/>
        </w:rPr>
        <w:t xml:space="preserve"> </w:t>
      </w:r>
      <w:r w:rsidRPr="00C00360">
        <w:rPr>
          <w:rFonts w:asciiTheme="minorBidi" w:hAnsiTheme="minorBidi" w:cstheme="minorBidi"/>
        </w:rPr>
        <w:t>ervant</w:t>
      </w:r>
      <w:r w:rsidRPr="00C00360">
        <w:rPr>
          <w:rFonts w:asciiTheme="minorBidi" w:hAnsiTheme="minorBidi" w:cstheme="minorBidi"/>
          <w:spacing w:val="-7"/>
        </w:rPr>
        <w:t xml:space="preserve"> </w:t>
      </w:r>
      <w:r w:rsidRPr="00C00360">
        <w:rPr>
          <w:rFonts w:asciiTheme="minorBidi" w:hAnsiTheme="minorBidi" w:cstheme="minorBidi"/>
        </w:rPr>
        <w:t>and</w:t>
      </w:r>
      <w:r w:rsidRPr="00C00360">
        <w:rPr>
          <w:rFonts w:asciiTheme="minorBidi" w:hAnsiTheme="minorBidi" w:cstheme="minorBidi"/>
          <w:spacing w:val="-9"/>
        </w:rPr>
        <w:t xml:space="preserve"> </w:t>
      </w:r>
      <w:r w:rsidRPr="00C00360">
        <w:rPr>
          <w:rFonts w:asciiTheme="minorBidi" w:hAnsiTheme="minorBidi" w:cstheme="minorBidi"/>
        </w:rPr>
        <w:t>messenger.</w:t>
      </w:r>
    </w:p>
    <w:p w:rsidR="00E6757B" w:rsidRPr="00C00360" w:rsidRDefault="00E6757B" w:rsidP="00C00360">
      <w:pPr>
        <w:pStyle w:val="BodyText"/>
        <w:spacing w:after="120" w:line="360" w:lineRule="auto"/>
        <w:ind w:left="0"/>
        <w:jc w:val="both"/>
        <w:rPr>
          <w:rFonts w:asciiTheme="minorBidi" w:hAnsiTheme="minorBidi" w:cstheme="minorBidi"/>
        </w:rPr>
      </w:pPr>
      <w:r w:rsidRPr="00C00360">
        <w:rPr>
          <w:rFonts w:asciiTheme="minorBidi" w:hAnsiTheme="minorBidi" w:cstheme="minorBidi"/>
        </w:rPr>
        <w:t xml:space="preserve">First and foremost, I must acknowledge my limitless thanks to </w:t>
      </w:r>
      <w:r w:rsidRPr="00C00360">
        <w:rPr>
          <w:rFonts w:asciiTheme="minorBidi" w:hAnsiTheme="minorBidi" w:cstheme="minorBidi"/>
          <w:b/>
          <w:i/>
        </w:rPr>
        <w:t>Allah</w:t>
      </w:r>
      <w:r w:rsidRPr="00C00360">
        <w:rPr>
          <w:rFonts w:asciiTheme="minorBidi" w:hAnsiTheme="minorBidi" w:cstheme="minorBidi"/>
        </w:rPr>
        <w:t>,</w:t>
      </w:r>
      <w:r w:rsidRPr="00C00360">
        <w:rPr>
          <w:rFonts w:asciiTheme="minorBidi" w:hAnsiTheme="minorBidi" w:cstheme="minorBidi"/>
          <w:spacing w:val="-7"/>
        </w:rPr>
        <w:t xml:space="preserve"> </w:t>
      </w:r>
      <w:r w:rsidRPr="00C00360">
        <w:rPr>
          <w:rFonts w:asciiTheme="minorBidi" w:hAnsiTheme="minorBidi" w:cstheme="minorBidi"/>
        </w:rPr>
        <w:t>the</w:t>
      </w:r>
      <w:r w:rsidRPr="00C00360">
        <w:rPr>
          <w:rFonts w:asciiTheme="minorBidi" w:hAnsiTheme="minorBidi" w:cstheme="minorBidi"/>
          <w:spacing w:val="-7"/>
        </w:rPr>
        <w:t xml:space="preserve"> </w:t>
      </w:r>
      <w:r w:rsidRPr="00C00360">
        <w:rPr>
          <w:rFonts w:asciiTheme="minorBidi" w:hAnsiTheme="minorBidi" w:cstheme="minorBidi"/>
        </w:rPr>
        <w:t>Ever-Magnificent;</w:t>
      </w:r>
      <w:r w:rsidRPr="00C00360">
        <w:rPr>
          <w:rFonts w:asciiTheme="minorBidi" w:hAnsiTheme="minorBidi" w:cstheme="minorBidi"/>
          <w:spacing w:val="-6"/>
        </w:rPr>
        <w:t xml:space="preserve"> </w:t>
      </w:r>
      <w:r w:rsidRPr="00C00360">
        <w:rPr>
          <w:rFonts w:asciiTheme="minorBidi" w:hAnsiTheme="minorBidi" w:cstheme="minorBidi"/>
        </w:rPr>
        <w:t>the</w:t>
      </w:r>
      <w:r w:rsidRPr="00C00360">
        <w:rPr>
          <w:rFonts w:asciiTheme="minorBidi" w:hAnsiTheme="minorBidi" w:cstheme="minorBidi"/>
          <w:spacing w:val="-4"/>
        </w:rPr>
        <w:t xml:space="preserve"> </w:t>
      </w:r>
      <w:r w:rsidRPr="00C00360">
        <w:rPr>
          <w:rFonts w:asciiTheme="minorBidi" w:hAnsiTheme="minorBidi" w:cstheme="minorBidi"/>
        </w:rPr>
        <w:t>Ever-Thankful,</w:t>
      </w:r>
      <w:r w:rsidRPr="00C00360">
        <w:rPr>
          <w:rFonts w:asciiTheme="minorBidi" w:hAnsiTheme="minorBidi" w:cstheme="minorBidi"/>
          <w:spacing w:val="-2"/>
        </w:rPr>
        <w:t xml:space="preserve"> </w:t>
      </w:r>
      <w:r w:rsidRPr="00C00360">
        <w:rPr>
          <w:rFonts w:asciiTheme="minorBidi" w:hAnsiTheme="minorBidi" w:cstheme="minorBidi"/>
        </w:rPr>
        <w:t>for</w:t>
      </w:r>
      <w:r w:rsidRPr="00C00360">
        <w:rPr>
          <w:rFonts w:asciiTheme="minorBidi" w:hAnsiTheme="minorBidi" w:cstheme="minorBidi"/>
          <w:spacing w:val="-8"/>
        </w:rPr>
        <w:t xml:space="preserve"> </w:t>
      </w:r>
      <w:r w:rsidRPr="00C00360">
        <w:rPr>
          <w:rFonts w:asciiTheme="minorBidi" w:hAnsiTheme="minorBidi" w:cstheme="minorBidi"/>
        </w:rPr>
        <w:t>His</w:t>
      </w:r>
      <w:r w:rsidRPr="00C00360">
        <w:rPr>
          <w:rFonts w:asciiTheme="minorBidi" w:hAnsiTheme="minorBidi" w:cstheme="minorBidi"/>
          <w:spacing w:val="-3"/>
        </w:rPr>
        <w:t xml:space="preserve"> </w:t>
      </w:r>
      <w:r w:rsidRPr="00C00360">
        <w:rPr>
          <w:rFonts w:asciiTheme="minorBidi" w:hAnsiTheme="minorBidi" w:cstheme="minorBidi"/>
        </w:rPr>
        <w:t>help</w:t>
      </w:r>
      <w:r w:rsidRPr="00C00360">
        <w:rPr>
          <w:rFonts w:asciiTheme="minorBidi" w:hAnsiTheme="minorBidi" w:cstheme="minorBidi"/>
          <w:spacing w:val="-3"/>
        </w:rPr>
        <w:t xml:space="preserve"> </w:t>
      </w:r>
      <w:r w:rsidRPr="00C00360">
        <w:rPr>
          <w:rFonts w:asciiTheme="minorBidi" w:hAnsiTheme="minorBidi" w:cstheme="minorBidi"/>
        </w:rPr>
        <w:t xml:space="preserve">and </w:t>
      </w:r>
      <w:r w:rsidRPr="00C00360">
        <w:rPr>
          <w:rFonts w:asciiTheme="minorBidi" w:hAnsiTheme="minorBidi" w:cstheme="minorBidi"/>
          <w:spacing w:val="-2"/>
        </w:rPr>
        <w:t>bless.</w:t>
      </w:r>
    </w:p>
    <w:p w:rsidR="00E6757B" w:rsidRPr="00C00360" w:rsidRDefault="00E6757B" w:rsidP="00C00360">
      <w:pPr>
        <w:pStyle w:val="BodyText"/>
        <w:spacing w:after="120" w:line="360" w:lineRule="auto"/>
        <w:ind w:left="0"/>
        <w:jc w:val="both"/>
        <w:rPr>
          <w:rFonts w:asciiTheme="minorBidi" w:hAnsiTheme="minorBidi" w:cstheme="minorBidi"/>
        </w:rPr>
      </w:pPr>
      <w:r w:rsidRPr="00C00360">
        <w:rPr>
          <w:rFonts w:asciiTheme="minorBidi" w:hAnsiTheme="minorBidi" w:cstheme="minorBidi"/>
        </w:rPr>
        <w:t>I</w:t>
      </w:r>
      <w:r w:rsidRPr="00C00360">
        <w:rPr>
          <w:rFonts w:asciiTheme="minorBidi" w:hAnsiTheme="minorBidi" w:cstheme="minorBidi"/>
          <w:spacing w:val="-6"/>
        </w:rPr>
        <w:t xml:space="preserve"> </w:t>
      </w:r>
      <w:r w:rsidRPr="00C00360">
        <w:rPr>
          <w:rFonts w:asciiTheme="minorBidi" w:hAnsiTheme="minorBidi" w:cstheme="minorBidi"/>
        </w:rPr>
        <w:t>owe</w:t>
      </w:r>
      <w:r w:rsidRPr="00C00360">
        <w:rPr>
          <w:rFonts w:asciiTheme="minorBidi" w:hAnsiTheme="minorBidi" w:cstheme="minorBidi"/>
          <w:spacing w:val="-2"/>
        </w:rPr>
        <w:t xml:space="preserve"> </w:t>
      </w:r>
      <w:r w:rsidRPr="00C00360">
        <w:rPr>
          <w:rFonts w:asciiTheme="minorBidi" w:hAnsiTheme="minorBidi" w:cstheme="minorBidi"/>
        </w:rPr>
        <w:t>a</w:t>
      </w:r>
      <w:r w:rsidRPr="00C00360">
        <w:rPr>
          <w:rFonts w:asciiTheme="minorBidi" w:hAnsiTheme="minorBidi" w:cstheme="minorBidi"/>
          <w:spacing w:val="-2"/>
        </w:rPr>
        <w:t xml:space="preserve"> </w:t>
      </w:r>
      <w:r w:rsidRPr="00C00360">
        <w:rPr>
          <w:rFonts w:asciiTheme="minorBidi" w:hAnsiTheme="minorBidi" w:cstheme="minorBidi"/>
        </w:rPr>
        <w:t>deep</w:t>
      </w:r>
      <w:r w:rsidRPr="00C00360">
        <w:rPr>
          <w:rFonts w:asciiTheme="minorBidi" w:hAnsiTheme="minorBidi" w:cstheme="minorBidi"/>
          <w:spacing w:val="-1"/>
        </w:rPr>
        <w:t xml:space="preserve"> </w:t>
      </w:r>
      <w:r w:rsidRPr="00C00360">
        <w:rPr>
          <w:rFonts w:asciiTheme="minorBidi" w:hAnsiTheme="minorBidi" w:cstheme="minorBidi"/>
        </w:rPr>
        <w:t>debt</w:t>
      </w:r>
      <w:r w:rsidRPr="00C00360">
        <w:rPr>
          <w:rFonts w:asciiTheme="minorBidi" w:hAnsiTheme="minorBidi" w:cstheme="minorBidi"/>
          <w:spacing w:val="-5"/>
        </w:rPr>
        <w:t xml:space="preserve"> </w:t>
      </w:r>
      <w:r w:rsidRPr="00C00360">
        <w:rPr>
          <w:rFonts w:asciiTheme="minorBidi" w:hAnsiTheme="minorBidi" w:cstheme="minorBidi"/>
        </w:rPr>
        <w:t>of</w:t>
      </w:r>
      <w:r w:rsidRPr="00C00360">
        <w:rPr>
          <w:rFonts w:asciiTheme="minorBidi" w:hAnsiTheme="minorBidi" w:cstheme="minorBidi"/>
          <w:spacing w:val="-6"/>
        </w:rPr>
        <w:t xml:space="preserve"> </w:t>
      </w:r>
      <w:r w:rsidRPr="00C00360">
        <w:rPr>
          <w:rFonts w:asciiTheme="minorBidi" w:hAnsiTheme="minorBidi" w:cstheme="minorBidi"/>
        </w:rPr>
        <w:t>gratitude</w:t>
      </w:r>
      <w:r w:rsidRPr="00C00360">
        <w:rPr>
          <w:rFonts w:asciiTheme="minorBidi" w:hAnsiTheme="minorBidi" w:cstheme="minorBidi"/>
          <w:spacing w:val="-6"/>
        </w:rPr>
        <w:t xml:space="preserve"> </w:t>
      </w:r>
      <w:r w:rsidRPr="00C00360">
        <w:rPr>
          <w:rFonts w:asciiTheme="minorBidi" w:hAnsiTheme="minorBidi" w:cstheme="minorBidi"/>
        </w:rPr>
        <w:t>to</w:t>
      </w:r>
      <w:r w:rsidRPr="00C00360">
        <w:rPr>
          <w:rFonts w:asciiTheme="minorBidi" w:hAnsiTheme="minorBidi" w:cstheme="minorBidi"/>
          <w:spacing w:val="-7"/>
        </w:rPr>
        <w:t xml:space="preserve"> </w:t>
      </w:r>
      <w:r w:rsidRPr="00C00360">
        <w:rPr>
          <w:rFonts w:asciiTheme="minorBidi" w:hAnsiTheme="minorBidi" w:cstheme="minorBidi"/>
        </w:rPr>
        <w:t>our</w:t>
      </w:r>
      <w:r w:rsidRPr="00C00360">
        <w:rPr>
          <w:rFonts w:asciiTheme="minorBidi" w:hAnsiTheme="minorBidi" w:cstheme="minorBidi"/>
          <w:spacing w:val="-2"/>
        </w:rPr>
        <w:t xml:space="preserve"> </w:t>
      </w:r>
      <w:r w:rsidRPr="00C00360">
        <w:rPr>
          <w:rFonts w:asciiTheme="minorBidi" w:hAnsiTheme="minorBidi" w:cstheme="minorBidi"/>
        </w:rPr>
        <w:t>university</w:t>
      </w:r>
      <w:r w:rsidRPr="00C00360">
        <w:rPr>
          <w:rFonts w:asciiTheme="minorBidi" w:hAnsiTheme="minorBidi" w:cstheme="minorBidi"/>
          <w:spacing w:val="-4"/>
        </w:rPr>
        <w:t xml:space="preserve"> </w:t>
      </w:r>
      <w:r w:rsidRPr="00C00360">
        <w:rPr>
          <w:rFonts w:asciiTheme="minorBidi" w:hAnsiTheme="minorBidi" w:cstheme="minorBidi"/>
        </w:rPr>
        <w:t>for</w:t>
      </w:r>
      <w:r w:rsidRPr="00C00360">
        <w:rPr>
          <w:rFonts w:asciiTheme="minorBidi" w:hAnsiTheme="minorBidi" w:cstheme="minorBidi"/>
          <w:spacing w:val="-7"/>
        </w:rPr>
        <w:t xml:space="preserve"> </w:t>
      </w:r>
      <w:r w:rsidRPr="00C00360">
        <w:rPr>
          <w:rFonts w:asciiTheme="minorBidi" w:hAnsiTheme="minorBidi" w:cstheme="minorBidi"/>
        </w:rPr>
        <w:t>giving</w:t>
      </w:r>
      <w:r w:rsidRPr="00C00360">
        <w:rPr>
          <w:rFonts w:asciiTheme="minorBidi" w:hAnsiTheme="minorBidi" w:cstheme="minorBidi"/>
          <w:spacing w:val="-1"/>
        </w:rPr>
        <w:t xml:space="preserve"> </w:t>
      </w:r>
      <w:r w:rsidRPr="00C00360">
        <w:rPr>
          <w:rFonts w:asciiTheme="minorBidi" w:hAnsiTheme="minorBidi" w:cstheme="minorBidi"/>
        </w:rPr>
        <w:t>us</w:t>
      </w:r>
      <w:r w:rsidRPr="00C00360">
        <w:rPr>
          <w:rFonts w:asciiTheme="minorBidi" w:hAnsiTheme="minorBidi" w:cstheme="minorBidi"/>
          <w:spacing w:val="-1"/>
        </w:rPr>
        <w:t xml:space="preserve"> </w:t>
      </w:r>
      <w:r w:rsidRPr="00C00360">
        <w:rPr>
          <w:rFonts w:asciiTheme="minorBidi" w:hAnsiTheme="minorBidi" w:cstheme="minorBidi"/>
        </w:rPr>
        <w:t>an opportunity to</w:t>
      </w:r>
      <w:r w:rsidRPr="00C00360">
        <w:rPr>
          <w:rFonts w:asciiTheme="minorBidi" w:hAnsiTheme="minorBidi" w:cstheme="minorBidi"/>
          <w:rtl/>
        </w:rPr>
        <w:t xml:space="preserve"> </w:t>
      </w:r>
      <w:r w:rsidRPr="00C00360">
        <w:rPr>
          <w:rFonts w:asciiTheme="minorBidi" w:hAnsiTheme="minorBidi" w:cstheme="minorBidi"/>
        </w:rPr>
        <w:t>complete this work.</w:t>
      </w:r>
    </w:p>
    <w:p w:rsidR="00E6757B" w:rsidRPr="00C00360" w:rsidRDefault="00E6757B" w:rsidP="00C00360">
      <w:pPr>
        <w:widowControl w:val="0"/>
        <w:autoSpaceDE w:val="0"/>
        <w:autoSpaceDN w:val="0"/>
        <w:rPr>
          <w:rFonts w:asciiTheme="minorBidi" w:hAnsiTheme="minorBidi"/>
          <w:b/>
          <w:bCs/>
          <w:sz w:val="48"/>
          <w:szCs w:val="48"/>
          <w:rtl/>
          <w:lang w:bidi="ar-IQ"/>
        </w:rPr>
      </w:pPr>
      <w:r w:rsidRPr="00C00360">
        <w:rPr>
          <w:rFonts w:asciiTheme="minorBidi" w:hAnsiTheme="minorBidi"/>
        </w:rPr>
        <w:t xml:space="preserve">My sincere appreciation is to my supervisor </w:t>
      </w:r>
      <w:r w:rsidRPr="00C00360">
        <w:rPr>
          <w:rFonts w:asciiTheme="minorBidi" w:eastAsia="Arial" w:hAnsiTheme="minorBidi"/>
          <w:b/>
          <w:bCs/>
          <w:szCs w:val="28"/>
        </w:rPr>
        <w:t xml:space="preserve">Asst. prof. Dr. Lamis A. </w:t>
      </w:r>
      <w:r w:rsidR="00B57098" w:rsidRPr="00C00360">
        <w:rPr>
          <w:rFonts w:asciiTheme="minorBidi" w:eastAsia="Arial" w:hAnsiTheme="minorBidi"/>
          <w:b/>
          <w:bCs/>
          <w:szCs w:val="28"/>
        </w:rPr>
        <w:t>Al-Taee</w:t>
      </w:r>
      <w:r w:rsidR="00C00360" w:rsidRPr="00C00360">
        <w:rPr>
          <w:rFonts w:asciiTheme="minorBidi" w:eastAsia="Arial" w:hAnsiTheme="minorBidi"/>
          <w:b/>
          <w:bCs/>
          <w:szCs w:val="28"/>
        </w:rPr>
        <w:t xml:space="preserve"> </w:t>
      </w:r>
      <w:r w:rsidRPr="00C00360">
        <w:rPr>
          <w:rFonts w:asciiTheme="minorBidi" w:hAnsiTheme="minorBidi"/>
        </w:rPr>
        <w:t>for</w:t>
      </w:r>
      <w:r w:rsidRPr="00C00360">
        <w:rPr>
          <w:rFonts w:asciiTheme="minorBidi" w:hAnsiTheme="minorBidi"/>
          <w:spacing w:val="-5"/>
        </w:rPr>
        <w:t xml:space="preserve"> </w:t>
      </w:r>
      <w:r w:rsidR="00C00360" w:rsidRPr="00C00360">
        <w:rPr>
          <w:rFonts w:asciiTheme="minorBidi" w:hAnsiTheme="minorBidi"/>
        </w:rPr>
        <w:t>her</w:t>
      </w:r>
      <w:r w:rsidRPr="00C00360">
        <w:rPr>
          <w:rFonts w:asciiTheme="minorBidi" w:hAnsiTheme="minorBidi"/>
          <w:spacing w:val="-8"/>
        </w:rPr>
        <w:t xml:space="preserve"> </w:t>
      </w:r>
      <w:r w:rsidRPr="00C00360">
        <w:rPr>
          <w:rFonts w:asciiTheme="minorBidi" w:hAnsiTheme="minorBidi"/>
        </w:rPr>
        <w:t>thoughtful</w:t>
      </w:r>
      <w:r w:rsidRPr="00C00360">
        <w:rPr>
          <w:rFonts w:asciiTheme="minorBidi" w:hAnsiTheme="minorBidi"/>
          <w:spacing w:val="-3"/>
        </w:rPr>
        <w:t xml:space="preserve"> </w:t>
      </w:r>
      <w:r w:rsidRPr="00C00360">
        <w:rPr>
          <w:rFonts w:asciiTheme="minorBidi" w:hAnsiTheme="minorBidi"/>
        </w:rPr>
        <w:t>guidance,</w:t>
      </w:r>
      <w:r w:rsidRPr="00C00360">
        <w:rPr>
          <w:rFonts w:asciiTheme="minorBidi" w:hAnsiTheme="minorBidi"/>
          <w:spacing w:val="-4"/>
        </w:rPr>
        <w:t xml:space="preserve"> </w:t>
      </w:r>
      <w:r w:rsidRPr="00C00360">
        <w:rPr>
          <w:rFonts w:asciiTheme="minorBidi" w:hAnsiTheme="minorBidi"/>
        </w:rPr>
        <w:t>suggestion,</w:t>
      </w:r>
      <w:r w:rsidRPr="00C00360">
        <w:rPr>
          <w:rFonts w:asciiTheme="minorBidi" w:hAnsiTheme="minorBidi"/>
          <w:spacing w:val="-3"/>
        </w:rPr>
        <w:t xml:space="preserve"> </w:t>
      </w:r>
      <w:r w:rsidRPr="00C00360">
        <w:rPr>
          <w:rFonts w:asciiTheme="minorBidi" w:hAnsiTheme="minorBidi"/>
        </w:rPr>
        <w:t>criticism,</w:t>
      </w:r>
      <w:r w:rsidRPr="00C00360">
        <w:rPr>
          <w:rFonts w:asciiTheme="minorBidi" w:hAnsiTheme="minorBidi"/>
          <w:spacing w:val="-8"/>
        </w:rPr>
        <w:t xml:space="preserve"> </w:t>
      </w:r>
      <w:r w:rsidRPr="00C00360">
        <w:rPr>
          <w:rFonts w:asciiTheme="minorBidi" w:hAnsiTheme="minorBidi"/>
        </w:rPr>
        <w:t xml:space="preserve">invaluable help </w:t>
      </w:r>
      <w:r w:rsidR="00C00360" w:rsidRPr="00C00360">
        <w:rPr>
          <w:rFonts w:asciiTheme="minorBidi" w:hAnsiTheme="minorBidi"/>
        </w:rPr>
        <w:t>&amp;</w:t>
      </w:r>
      <w:r w:rsidRPr="00C00360">
        <w:rPr>
          <w:rFonts w:asciiTheme="minorBidi" w:hAnsiTheme="minorBidi"/>
        </w:rPr>
        <w:t xml:space="preserve"> advice </w:t>
      </w:r>
      <w:r w:rsidR="00C00360" w:rsidRPr="00C00360">
        <w:rPr>
          <w:rFonts w:asciiTheme="minorBidi" w:hAnsiTheme="minorBidi"/>
        </w:rPr>
        <w:t xml:space="preserve">in </w:t>
      </w:r>
      <w:r w:rsidRPr="00C00360">
        <w:rPr>
          <w:rFonts w:asciiTheme="minorBidi" w:hAnsiTheme="minorBidi"/>
        </w:rPr>
        <w:t>planning and conducting this research.</w:t>
      </w:r>
    </w:p>
    <w:p w:rsidR="00E6757B" w:rsidRDefault="00E6757B" w:rsidP="009C705D">
      <w:pPr>
        <w:spacing w:line="240" w:lineRule="auto"/>
        <w:jc w:val="center"/>
        <w:rPr>
          <w:b/>
          <w:bCs/>
          <w:sz w:val="48"/>
          <w:szCs w:val="48"/>
          <w:rtl/>
          <w:lang w:bidi="ar-IQ"/>
        </w:rPr>
      </w:pPr>
    </w:p>
    <w:p w:rsidR="00E6757B" w:rsidRDefault="00E6757B" w:rsidP="009C705D">
      <w:pPr>
        <w:spacing w:line="240" w:lineRule="auto"/>
        <w:jc w:val="center"/>
        <w:rPr>
          <w:b/>
          <w:bCs/>
          <w:sz w:val="48"/>
          <w:szCs w:val="48"/>
          <w:rtl/>
          <w:lang w:bidi="ar-IQ"/>
        </w:rPr>
      </w:pPr>
    </w:p>
    <w:p w:rsidR="00E6757B" w:rsidRDefault="00E6757B" w:rsidP="009C705D">
      <w:pPr>
        <w:spacing w:line="240" w:lineRule="auto"/>
        <w:jc w:val="center"/>
        <w:rPr>
          <w:b/>
          <w:bCs/>
          <w:sz w:val="48"/>
          <w:szCs w:val="48"/>
          <w:rtl/>
          <w:lang w:bidi="ar-IQ"/>
        </w:rPr>
      </w:pPr>
    </w:p>
    <w:p w:rsidR="00E6757B" w:rsidRDefault="00E6757B" w:rsidP="009C705D">
      <w:pPr>
        <w:spacing w:line="240" w:lineRule="auto"/>
        <w:jc w:val="center"/>
        <w:rPr>
          <w:b/>
          <w:bCs/>
          <w:sz w:val="48"/>
          <w:szCs w:val="48"/>
          <w:rtl/>
          <w:lang w:bidi="ar-IQ"/>
        </w:rPr>
      </w:pPr>
    </w:p>
    <w:p w:rsidR="00E6757B" w:rsidRDefault="00E6757B" w:rsidP="009C705D">
      <w:pPr>
        <w:spacing w:line="240" w:lineRule="auto"/>
        <w:jc w:val="center"/>
        <w:rPr>
          <w:b/>
          <w:bCs/>
          <w:sz w:val="48"/>
          <w:szCs w:val="48"/>
          <w:rtl/>
          <w:lang w:bidi="ar-IQ"/>
        </w:rPr>
      </w:pPr>
    </w:p>
    <w:p w:rsidR="00E6757B" w:rsidRDefault="00E6757B" w:rsidP="009C705D">
      <w:pPr>
        <w:spacing w:line="240" w:lineRule="auto"/>
        <w:jc w:val="center"/>
        <w:rPr>
          <w:b/>
          <w:bCs/>
          <w:sz w:val="48"/>
          <w:szCs w:val="48"/>
          <w:rtl/>
          <w:lang w:bidi="ar-IQ"/>
        </w:rPr>
      </w:pPr>
    </w:p>
    <w:p w:rsidR="00E6757B" w:rsidRDefault="00E6757B" w:rsidP="009C705D">
      <w:pPr>
        <w:spacing w:line="240" w:lineRule="auto"/>
        <w:jc w:val="center"/>
        <w:rPr>
          <w:b/>
          <w:bCs/>
          <w:sz w:val="48"/>
          <w:szCs w:val="48"/>
          <w:rtl/>
          <w:lang w:bidi="ar-IQ"/>
        </w:rPr>
      </w:pPr>
    </w:p>
    <w:p w:rsidR="00E6757B" w:rsidRDefault="00E6757B" w:rsidP="009C705D">
      <w:pPr>
        <w:spacing w:line="240" w:lineRule="auto"/>
        <w:jc w:val="center"/>
        <w:rPr>
          <w:b/>
          <w:bCs/>
          <w:sz w:val="48"/>
          <w:szCs w:val="48"/>
          <w:rtl/>
          <w:lang w:bidi="ar-IQ"/>
        </w:rPr>
      </w:pPr>
    </w:p>
    <w:p w:rsidR="00E6757B" w:rsidRDefault="00E6757B" w:rsidP="009C705D">
      <w:pPr>
        <w:spacing w:line="240" w:lineRule="auto"/>
        <w:jc w:val="center"/>
        <w:rPr>
          <w:b/>
          <w:bCs/>
          <w:sz w:val="48"/>
          <w:szCs w:val="48"/>
          <w:rtl/>
          <w:lang w:bidi="ar-IQ"/>
        </w:rPr>
      </w:pPr>
    </w:p>
    <w:p w:rsidR="00E6757B" w:rsidRDefault="00E6757B" w:rsidP="00E6757B">
      <w:pPr>
        <w:rPr>
          <w:rtl/>
          <w:lang w:bidi="ar-IQ"/>
        </w:rPr>
      </w:pPr>
    </w:p>
    <w:p w:rsidR="000F1F6F" w:rsidRPr="00E6757B" w:rsidRDefault="000F1F6F" w:rsidP="000F1F6F">
      <w:pPr>
        <w:jc w:val="center"/>
        <w:rPr>
          <w:rtl/>
          <w:lang w:bidi="ar-IQ"/>
        </w:rPr>
      </w:pPr>
    </w:p>
    <w:p w:rsidR="00E6757B" w:rsidRPr="00C00360" w:rsidRDefault="00E6757B" w:rsidP="000F1F6F">
      <w:pPr>
        <w:pStyle w:val="Heading1"/>
        <w:spacing w:before="120"/>
        <w:jc w:val="center"/>
        <w:rPr>
          <w:rFonts w:asciiTheme="minorBidi" w:hAnsiTheme="minorBidi" w:cstheme="minorBidi"/>
          <w:spacing w:val="-2"/>
          <w:sz w:val="36"/>
          <w:szCs w:val="36"/>
          <w:rtl/>
          <w:lang w:bidi="ar-IQ"/>
        </w:rPr>
      </w:pPr>
      <w:r w:rsidRPr="00C00360">
        <w:rPr>
          <w:rFonts w:asciiTheme="minorBidi" w:hAnsiTheme="minorBidi" w:cstheme="minorBidi"/>
          <w:spacing w:val="-2"/>
          <w:sz w:val="36"/>
          <w:szCs w:val="36"/>
        </w:rPr>
        <w:t>List of Content</w:t>
      </w:r>
      <w:r w:rsidR="00C00360" w:rsidRPr="00C00360">
        <w:rPr>
          <w:rFonts w:asciiTheme="minorBidi" w:hAnsiTheme="minorBidi" w:cstheme="minorBidi"/>
          <w:spacing w:val="-2"/>
          <w:sz w:val="36"/>
          <w:szCs w:val="36"/>
        </w:rPr>
        <w:t>s</w:t>
      </w:r>
    </w:p>
    <w:tbl>
      <w:tblPr>
        <w:tblStyle w:val="GridTable4-Accent3"/>
        <w:tblpPr w:leftFromText="180" w:rightFromText="180" w:vertAnchor="text" w:tblpY="1"/>
        <w:tblW w:w="5000" w:type="pct"/>
        <w:tblLook w:val="0420" w:firstRow="1" w:lastRow="0" w:firstColumn="0" w:lastColumn="0" w:noHBand="0" w:noVBand="1"/>
      </w:tblPr>
      <w:tblGrid>
        <w:gridCol w:w="7744"/>
        <w:gridCol w:w="1606"/>
      </w:tblGrid>
      <w:tr w:rsidR="00E6757B" w:rsidRPr="00C00360" w:rsidTr="00BE5828">
        <w:trPr>
          <w:cnfStyle w:val="100000000000" w:firstRow="1" w:lastRow="0" w:firstColumn="0" w:lastColumn="0" w:oddVBand="0" w:evenVBand="0" w:oddHBand="0" w:evenHBand="0" w:firstRowFirstColumn="0" w:firstRowLastColumn="0" w:lastRowFirstColumn="0" w:lastRowLastColumn="0"/>
          <w:trHeight w:val="20"/>
        </w:trPr>
        <w:tc>
          <w:tcPr>
            <w:tcW w:w="4141" w:type="pct"/>
          </w:tcPr>
          <w:p w:rsidR="00E6757B" w:rsidRPr="00C00360" w:rsidRDefault="00E6757B" w:rsidP="004A69D3">
            <w:pPr>
              <w:pStyle w:val="TableParagraph"/>
              <w:spacing w:line="360" w:lineRule="auto"/>
              <w:ind w:left="82"/>
              <w:rPr>
                <w:rFonts w:asciiTheme="minorBidi" w:hAnsiTheme="minorBidi" w:cstheme="minorBidi"/>
                <w:sz w:val="28"/>
                <w:szCs w:val="28"/>
              </w:rPr>
            </w:pPr>
            <w:r w:rsidRPr="00C00360">
              <w:rPr>
                <w:rFonts w:asciiTheme="minorBidi" w:hAnsiTheme="minorBidi" w:cstheme="minorBidi"/>
                <w:color w:val="FFFFFF"/>
                <w:spacing w:val="-2"/>
                <w:sz w:val="28"/>
                <w:szCs w:val="28"/>
              </w:rPr>
              <w:t>Subject</w:t>
            </w:r>
          </w:p>
        </w:tc>
        <w:tc>
          <w:tcPr>
            <w:tcW w:w="859" w:type="pct"/>
          </w:tcPr>
          <w:p w:rsidR="00E6757B" w:rsidRPr="00C00360" w:rsidRDefault="00E6757B" w:rsidP="004A69D3">
            <w:pPr>
              <w:pStyle w:val="TableParagraph"/>
              <w:spacing w:line="360" w:lineRule="auto"/>
              <w:ind w:left="86"/>
              <w:jc w:val="center"/>
              <w:rPr>
                <w:rFonts w:asciiTheme="minorBidi" w:hAnsiTheme="minorBidi" w:cstheme="minorBidi"/>
                <w:sz w:val="28"/>
                <w:szCs w:val="28"/>
              </w:rPr>
            </w:pPr>
            <w:r w:rsidRPr="00C00360">
              <w:rPr>
                <w:rFonts w:asciiTheme="minorBidi" w:hAnsiTheme="minorBidi" w:cstheme="minorBidi"/>
                <w:color w:val="FFFFFF"/>
                <w:sz w:val="28"/>
                <w:szCs w:val="28"/>
              </w:rPr>
              <w:t>Page</w:t>
            </w:r>
            <w:r w:rsidRPr="00C00360">
              <w:rPr>
                <w:rFonts w:asciiTheme="minorBidi" w:hAnsiTheme="minorBidi" w:cstheme="minorBidi"/>
                <w:color w:val="FFFFFF"/>
                <w:spacing w:val="-11"/>
                <w:sz w:val="28"/>
                <w:szCs w:val="28"/>
              </w:rPr>
              <w:t xml:space="preserve"> </w:t>
            </w:r>
            <w:r w:rsidRPr="00C00360">
              <w:rPr>
                <w:rFonts w:asciiTheme="minorBidi" w:hAnsiTheme="minorBidi" w:cstheme="minorBidi"/>
                <w:color w:val="FFFFFF"/>
                <w:spacing w:val="-5"/>
                <w:sz w:val="28"/>
                <w:szCs w:val="28"/>
              </w:rPr>
              <w:t>No.</w:t>
            </w:r>
          </w:p>
        </w:tc>
      </w:tr>
      <w:tr w:rsidR="00E6757B" w:rsidRPr="00C00360" w:rsidTr="00BE5828">
        <w:trPr>
          <w:cnfStyle w:val="000000100000" w:firstRow="0" w:lastRow="0" w:firstColumn="0" w:lastColumn="0" w:oddVBand="0" w:evenVBand="0" w:oddHBand="1" w:evenHBand="0" w:firstRowFirstColumn="0" w:firstRowLastColumn="0" w:lastRowFirstColumn="0" w:lastRowLastColumn="0"/>
          <w:trHeight w:val="20"/>
        </w:trPr>
        <w:tc>
          <w:tcPr>
            <w:tcW w:w="4141" w:type="pct"/>
          </w:tcPr>
          <w:p w:rsidR="00E6757B" w:rsidRPr="00C00360" w:rsidRDefault="000F1F6F" w:rsidP="004A69D3">
            <w:pPr>
              <w:pStyle w:val="TableParagraph"/>
              <w:spacing w:line="360" w:lineRule="auto"/>
              <w:rPr>
                <w:rFonts w:asciiTheme="minorBidi" w:hAnsiTheme="minorBidi" w:cstheme="minorBidi"/>
                <w:sz w:val="28"/>
                <w:szCs w:val="28"/>
              </w:rPr>
            </w:pPr>
            <w:r w:rsidRPr="00C00360">
              <w:rPr>
                <w:rFonts w:asciiTheme="minorBidi" w:hAnsiTheme="minorBidi" w:cstheme="minorBidi"/>
                <w:spacing w:val="-2"/>
                <w:sz w:val="28"/>
                <w:szCs w:val="28"/>
              </w:rPr>
              <w:t>Introduction</w:t>
            </w:r>
          </w:p>
        </w:tc>
        <w:tc>
          <w:tcPr>
            <w:tcW w:w="859" w:type="pct"/>
          </w:tcPr>
          <w:p w:rsidR="00E6757B" w:rsidRPr="00C00360" w:rsidRDefault="00C7200E" w:rsidP="004A69D3">
            <w:pPr>
              <w:pStyle w:val="TableParagraph"/>
              <w:spacing w:line="360" w:lineRule="auto"/>
              <w:ind w:left="81"/>
              <w:jc w:val="center"/>
              <w:rPr>
                <w:rFonts w:asciiTheme="minorBidi" w:hAnsiTheme="minorBidi" w:cstheme="minorBidi"/>
                <w:sz w:val="28"/>
                <w:szCs w:val="28"/>
              </w:rPr>
            </w:pPr>
            <w:r w:rsidRPr="00C00360">
              <w:rPr>
                <w:rFonts w:asciiTheme="minorBidi" w:hAnsiTheme="minorBidi" w:cstheme="minorBidi"/>
                <w:sz w:val="28"/>
                <w:szCs w:val="28"/>
                <w:rtl/>
              </w:rPr>
              <w:t>1</w:t>
            </w:r>
          </w:p>
        </w:tc>
      </w:tr>
      <w:tr w:rsidR="00E6757B" w:rsidRPr="00C00360" w:rsidTr="00BE5828">
        <w:trPr>
          <w:trHeight w:val="20"/>
        </w:trPr>
        <w:tc>
          <w:tcPr>
            <w:tcW w:w="4141" w:type="pct"/>
          </w:tcPr>
          <w:p w:rsidR="00E6757B" w:rsidRPr="00C00360" w:rsidRDefault="00C7200E" w:rsidP="00C7200E">
            <w:pPr>
              <w:pStyle w:val="TableParagraph"/>
              <w:spacing w:line="360" w:lineRule="auto"/>
              <w:rPr>
                <w:rFonts w:asciiTheme="minorBidi" w:hAnsiTheme="minorBidi" w:cstheme="minorBidi"/>
                <w:sz w:val="28"/>
                <w:szCs w:val="28"/>
              </w:rPr>
            </w:pPr>
            <w:r w:rsidRPr="00C00360">
              <w:rPr>
                <w:rFonts w:asciiTheme="minorBidi" w:hAnsiTheme="minorBidi" w:cstheme="minorBidi"/>
                <w:sz w:val="28"/>
                <w:szCs w:val="28"/>
              </w:rPr>
              <w:t>Structure of dentin</w:t>
            </w:r>
          </w:p>
        </w:tc>
        <w:tc>
          <w:tcPr>
            <w:tcW w:w="859" w:type="pct"/>
          </w:tcPr>
          <w:p w:rsidR="00E6757B" w:rsidRPr="00C00360" w:rsidRDefault="00C7200E" w:rsidP="004A69D3">
            <w:pPr>
              <w:pStyle w:val="TableParagraph"/>
              <w:spacing w:line="360" w:lineRule="auto"/>
              <w:ind w:left="81"/>
              <w:jc w:val="center"/>
              <w:rPr>
                <w:rFonts w:asciiTheme="minorBidi" w:hAnsiTheme="minorBidi" w:cstheme="minorBidi"/>
                <w:sz w:val="28"/>
                <w:szCs w:val="28"/>
              </w:rPr>
            </w:pPr>
            <w:r w:rsidRPr="00C00360">
              <w:rPr>
                <w:rFonts w:asciiTheme="minorBidi" w:hAnsiTheme="minorBidi" w:cstheme="minorBidi"/>
                <w:sz w:val="28"/>
                <w:szCs w:val="28"/>
                <w:rtl/>
              </w:rPr>
              <w:t>2</w:t>
            </w:r>
          </w:p>
        </w:tc>
      </w:tr>
      <w:tr w:rsidR="00E6757B" w:rsidRPr="00C00360" w:rsidTr="00BE5828">
        <w:trPr>
          <w:cnfStyle w:val="000000100000" w:firstRow="0" w:lastRow="0" w:firstColumn="0" w:lastColumn="0" w:oddVBand="0" w:evenVBand="0" w:oddHBand="1" w:evenHBand="0" w:firstRowFirstColumn="0" w:firstRowLastColumn="0" w:lastRowFirstColumn="0" w:lastRowLastColumn="0"/>
          <w:trHeight w:val="20"/>
        </w:trPr>
        <w:tc>
          <w:tcPr>
            <w:tcW w:w="4141" w:type="pct"/>
          </w:tcPr>
          <w:p w:rsidR="00E6757B" w:rsidRPr="00C00360" w:rsidRDefault="00C7200E" w:rsidP="004A69D3">
            <w:pPr>
              <w:pStyle w:val="TableParagraph"/>
              <w:spacing w:line="360" w:lineRule="auto"/>
              <w:rPr>
                <w:rFonts w:asciiTheme="minorBidi" w:hAnsiTheme="minorBidi" w:cstheme="minorBidi"/>
                <w:sz w:val="28"/>
                <w:szCs w:val="28"/>
              </w:rPr>
            </w:pPr>
            <w:r w:rsidRPr="00C00360">
              <w:rPr>
                <w:rFonts w:asciiTheme="minorBidi" w:hAnsiTheme="minorBidi" w:cstheme="minorBidi"/>
                <w:sz w:val="28"/>
                <w:szCs w:val="28"/>
              </w:rPr>
              <w:t>Sound dentin VS hypersensitivity dentin</w:t>
            </w:r>
          </w:p>
        </w:tc>
        <w:tc>
          <w:tcPr>
            <w:tcW w:w="859" w:type="pct"/>
          </w:tcPr>
          <w:p w:rsidR="00E6757B" w:rsidRPr="00C00360" w:rsidRDefault="00C7200E" w:rsidP="004A69D3">
            <w:pPr>
              <w:pStyle w:val="TableParagraph"/>
              <w:spacing w:line="360" w:lineRule="auto"/>
              <w:ind w:left="81"/>
              <w:jc w:val="center"/>
              <w:rPr>
                <w:rFonts w:asciiTheme="minorBidi" w:hAnsiTheme="minorBidi" w:cstheme="minorBidi"/>
                <w:sz w:val="28"/>
                <w:szCs w:val="28"/>
              </w:rPr>
            </w:pPr>
            <w:r w:rsidRPr="00C00360">
              <w:rPr>
                <w:rFonts w:asciiTheme="minorBidi" w:hAnsiTheme="minorBidi" w:cstheme="minorBidi"/>
                <w:sz w:val="28"/>
                <w:szCs w:val="28"/>
                <w:rtl/>
              </w:rPr>
              <w:t>3</w:t>
            </w:r>
          </w:p>
        </w:tc>
      </w:tr>
      <w:tr w:rsidR="00E6757B" w:rsidRPr="00C00360" w:rsidTr="00BE5828">
        <w:trPr>
          <w:trHeight w:val="20"/>
        </w:trPr>
        <w:tc>
          <w:tcPr>
            <w:tcW w:w="4141" w:type="pct"/>
          </w:tcPr>
          <w:p w:rsidR="00E6757B" w:rsidRPr="00C00360" w:rsidRDefault="00C7200E" w:rsidP="004A69D3">
            <w:pPr>
              <w:pStyle w:val="TableParagraph"/>
              <w:spacing w:line="360" w:lineRule="auto"/>
              <w:rPr>
                <w:rFonts w:asciiTheme="minorBidi" w:hAnsiTheme="minorBidi" w:cstheme="minorBidi"/>
                <w:sz w:val="28"/>
                <w:szCs w:val="28"/>
              </w:rPr>
            </w:pPr>
            <w:r w:rsidRPr="00C00360">
              <w:rPr>
                <w:rFonts w:asciiTheme="minorBidi" w:hAnsiTheme="minorBidi" w:cstheme="minorBidi"/>
                <w:spacing w:val="-2"/>
                <w:sz w:val="28"/>
                <w:szCs w:val="28"/>
              </w:rPr>
              <w:t>Etiology and predisposing factors</w:t>
            </w:r>
          </w:p>
        </w:tc>
        <w:tc>
          <w:tcPr>
            <w:tcW w:w="859" w:type="pct"/>
          </w:tcPr>
          <w:p w:rsidR="00E6757B" w:rsidRPr="00C00360" w:rsidRDefault="00C7200E" w:rsidP="004A69D3">
            <w:pPr>
              <w:pStyle w:val="TableParagraph"/>
              <w:spacing w:line="360" w:lineRule="auto"/>
              <w:ind w:left="81"/>
              <w:jc w:val="center"/>
              <w:rPr>
                <w:rFonts w:asciiTheme="minorBidi" w:hAnsiTheme="minorBidi" w:cstheme="minorBidi"/>
                <w:sz w:val="28"/>
                <w:szCs w:val="28"/>
              </w:rPr>
            </w:pPr>
            <w:r w:rsidRPr="00C00360">
              <w:rPr>
                <w:rFonts w:asciiTheme="minorBidi" w:hAnsiTheme="minorBidi" w:cstheme="minorBidi"/>
                <w:sz w:val="28"/>
                <w:szCs w:val="28"/>
                <w:rtl/>
              </w:rPr>
              <w:t>4</w:t>
            </w:r>
          </w:p>
        </w:tc>
      </w:tr>
      <w:tr w:rsidR="00E6757B" w:rsidRPr="00C00360" w:rsidTr="00BE5828">
        <w:trPr>
          <w:cnfStyle w:val="000000100000" w:firstRow="0" w:lastRow="0" w:firstColumn="0" w:lastColumn="0" w:oddVBand="0" w:evenVBand="0" w:oddHBand="1" w:evenHBand="0" w:firstRowFirstColumn="0" w:firstRowLastColumn="0" w:lastRowFirstColumn="0" w:lastRowLastColumn="0"/>
          <w:trHeight w:val="20"/>
        </w:trPr>
        <w:tc>
          <w:tcPr>
            <w:tcW w:w="4141" w:type="pct"/>
          </w:tcPr>
          <w:p w:rsidR="00E6757B" w:rsidRPr="00C00360" w:rsidRDefault="00C7200E" w:rsidP="004A69D3">
            <w:pPr>
              <w:pStyle w:val="TableParagraph"/>
              <w:spacing w:line="360" w:lineRule="auto"/>
              <w:rPr>
                <w:rFonts w:asciiTheme="minorBidi" w:hAnsiTheme="minorBidi" w:cstheme="minorBidi"/>
                <w:sz w:val="28"/>
                <w:szCs w:val="28"/>
              </w:rPr>
            </w:pPr>
            <w:r w:rsidRPr="00C00360">
              <w:rPr>
                <w:rFonts w:asciiTheme="minorBidi" w:hAnsiTheme="minorBidi" w:cstheme="minorBidi"/>
                <w:sz w:val="28"/>
                <w:szCs w:val="28"/>
              </w:rPr>
              <w:t>Treatment materials and Techniques</w:t>
            </w:r>
          </w:p>
        </w:tc>
        <w:tc>
          <w:tcPr>
            <w:tcW w:w="859" w:type="pct"/>
          </w:tcPr>
          <w:p w:rsidR="00E6757B" w:rsidRPr="00C00360" w:rsidRDefault="00C61B45" w:rsidP="004A69D3">
            <w:pPr>
              <w:pStyle w:val="TableParagraph"/>
              <w:spacing w:line="360" w:lineRule="auto"/>
              <w:ind w:left="81"/>
              <w:jc w:val="center"/>
              <w:rPr>
                <w:rFonts w:asciiTheme="minorBidi" w:hAnsiTheme="minorBidi" w:cstheme="minorBidi"/>
                <w:sz w:val="28"/>
                <w:szCs w:val="28"/>
              </w:rPr>
            </w:pPr>
            <w:r w:rsidRPr="00C00360">
              <w:rPr>
                <w:rFonts w:asciiTheme="minorBidi" w:hAnsiTheme="minorBidi" w:cstheme="minorBidi"/>
                <w:sz w:val="28"/>
                <w:szCs w:val="28"/>
              </w:rPr>
              <w:t>7</w:t>
            </w:r>
          </w:p>
        </w:tc>
      </w:tr>
      <w:tr w:rsidR="00E6757B" w:rsidRPr="00C00360" w:rsidTr="00BE5828">
        <w:trPr>
          <w:trHeight w:val="20"/>
        </w:trPr>
        <w:tc>
          <w:tcPr>
            <w:tcW w:w="4141" w:type="pct"/>
          </w:tcPr>
          <w:p w:rsidR="00E6757B" w:rsidRPr="00C00360" w:rsidRDefault="00C7200E" w:rsidP="004A69D3">
            <w:pPr>
              <w:pStyle w:val="TableParagraph"/>
              <w:spacing w:line="360" w:lineRule="auto"/>
              <w:rPr>
                <w:rFonts w:asciiTheme="minorBidi" w:hAnsiTheme="minorBidi" w:cstheme="minorBidi"/>
                <w:sz w:val="28"/>
                <w:szCs w:val="28"/>
              </w:rPr>
            </w:pPr>
            <w:r w:rsidRPr="00C00360">
              <w:rPr>
                <w:rFonts w:asciiTheme="minorBidi" w:hAnsiTheme="minorBidi" w:cstheme="minorBidi"/>
                <w:sz w:val="28"/>
                <w:szCs w:val="28"/>
              </w:rPr>
              <w:t>Oral hygiene instruction for DHS prevention</w:t>
            </w:r>
          </w:p>
        </w:tc>
        <w:tc>
          <w:tcPr>
            <w:tcW w:w="859" w:type="pct"/>
          </w:tcPr>
          <w:p w:rsidR="00E6757B" w:rsidRPr="00C00360" w:rsidRDefault="00C61B45" w:rsidP="004A69D3">
            <w:pPr>
              <w:pStyle w:val="TableParagraph"/>
              <w:spacing w:line="360" w:lineRule="auto"/>
              <w:ind w:left="81"/>
              <w:jc w:val="center"/>
              <w:rPr>
                <w:rFonts w:asciiTheme="minorBidi" w:hAnsiTheme="minorBidi" w:cstheme="minorBidi"/>
                <w:sz w:val="28"/>
                <w:szCs w:val="28"/>
              </w:rPr>
            </w:pPr>
            <w:r w:rsidRPr="00C00360">
              <w:rPr>
                <w:rFonts w:asciiTheme="minorBidi" w:hAnsiTheme="minorBidi" w:cstheme="minorBidi"/>
                <w:sz w:val="28"/>
                <w:szCs w:val="28"/>
              </w:rPr>
              <w:t>8</w:t>
            </w:r>
          </w:p>
        </w:tc>
      </w:tr>
      <w:tr w:rsidR="00E6757B" w:rsidRPr="00C00360" w:rsidTr="00BE5828">
        <w:trPr>
          <w:cnfStyle w:val="000000100000" w:firstRow="0" w:lastRow="0" w:firstColumn="0" w:lastColumn="0" w:oddVBand="0" w:evenVBand="0" w:oddHBand="1" w:evenHBand="0" w:firstRowFirstColumn="0" w:firstRowLastColumn="0" w:lastRowFirstColumn="0" w:lastRowLastColumn="0"/>
          <w:trHeight w:val="20"/>
        </w:trPr>
        <w:tc>
          <w:tcPr>
            <w:tcW w:w="4141" w:type="pct"/>
          </w:tcPr>
          <w:p w:rsidR="00E6757B" w:rsidRPr="00C00360" w:rsidRDefault="00C7200E" w:rsidP="004A69D3">
            <w:pPr>
              <w:pStyle w:val="TableParagraph"/>
              <w:spacing w:line="360" w:lineRule="auto"/>
              <w:rPr>
                <w:rFonts w:asciiTheme="minorBidi" w:hAnsiTheme="minorBidi" w:cstheme="minorBidi"/>
                <w:sz w:val="28"/>
                <w:szCs w:val="28"/>
              </w:rPr>
            </w:pPr>
            <w:r w:rsidRPr="00C00360">
              <w:rPr>
                <w:rFonts w:asciiTheme="minorBidi" w:hAnsiTheme="minorBidi" w:cstheme="minorBidi"/>
                <w:sz w:val="28"/>
                <w:szCs w:val="28"/>
              </w:rPr>
              <w:t>Behavioral control and elimination of predisposing factors</w:t>
            </w:r>
          </w:p>
        </w:tc>
        <w:tc>
          <w:tcPr>
            <w:tcW w:w="859" w:type="pct"/>
          </w:tcPr>
          <w:p w:rsidR="00E6757B" w:rsidRPr="00C00360" w:rsidRDefault="00C61B45" w:rsidP="004A69D3">
            <w:pPr>
              <w:pStyle w:val="TableParagraph"/>
              <w:spacing w:line="360" w:lineRule="auto"/>
              <w:ind w:left="81"/>
              <w:jc w:val="center"/>
              <w:rPr>
                <w:rFonts w:asciiTheme="minorBidi" w:hAnsiTheme="minorBidi" w:cstheme="minorBidi"/>
                <w:sz w:val="28"/>
                <w:szCs w:val="28"/>
              </w:rPr>
            </w:pPr>
            <w:r w:rsidRPr="00C00360">
              <w:rPr>
                <w:rFonts w:asciiTheme="minorBidi" w:hAnsiTheme="minorBidi" w:cstheme="minorBidi"/>
                <w:sz w:val="28"/>
                <w:szCs w:val="28"/>
              </w:rPr>
              <w:t>8</w:t>
            </w:r>
          </w:p>
        </w:tc>
      </w:tr>
      <w:tr w:rsidR="00E6757B" w:rsidRPr="00C00360" w:rsidTr="00BE5828">
        <w:trPr>
          <w:trHeight w:val="20"/>
        </w:trPr>
        <w:tc>
          <w:tcPr>
            <w:tcW w:w="4141" w:type="pct"/>
          </w:tcPr>
          <w:p w:rsidR="00E6757B" w:rsidRPr="00C00360" w:rsidRDefault="00C7200E" w:rsidP="004A69D3">
            <w:pPr>
              <w:pStyle w:val="TableParagraph"/>
              <w:spacing w:line="360" w:lineRule="auto"/>
              <w:rPr>
                <w:rFonts w:asciiTheme="minorBidi" w:hAnsiTheme="minorBidi" w:cstheme="minorBidi"/>
                <w:sz w:val="28"/>
                <w:szCs w:val="28"/>
              </w:rPr>
            </w:pPr>
            <w:r w:rsidRPr="00C00360">
              <w:rPr>
                <w:rFonts w:asciiTheme="minorBidi" w:hAnsiTheme="minorBidi" w:cstheme="minorBidi"/>
                <w:sz w:val="28"/>
                <w:szCs w:val="28"/>
              </w:rPr>
              <w:t>Non-invasive treatments for pain relief</w:t>
            </w:r>
          </w:p>
        </w:tc>
        <w:tc>
          <w:tcPr>
            <w:tcW w:w="859" w:type="pct"/>
          </w:tcPr>
          <w:p w:rsidR="00E6757B" w:rsidRPr="00C00360" w:rsidRDefault="00C61B45" w:rsidP="004A69D3">
            <w:pPr>
              <w:pStyle w:val="TableParagraph"/>
              <w:spacing w:line="360" w:lineRule="auto"/>
              <w:ind w:left="81"/>
              <w:jc w:val="center"/>
              <w:rPr>
                <w:rFonts w:asciiTheme="minorBidi" w:hAnsiTheme="minorBidi" w:cstheme="minorBidi"/>
                <w:sz w:val="28"/>
                <w:szCs w:val="28"/>
              </w:rPr>
            </w:pPr>
            <w:r w:rsidRPr="00C00360">
              <w:rPr>
                <w:rFonts w:asciiTheme="minorBidi" w:hAnsiTheme="minorBidi" w:cstheme="minorBidi"/>
                <w:sz w:val="28"/>
                <w:szCs w:val="28"/>
              </w:rPr>
              <w:t>9</w:t>
            </w:r>
          </w:p>
        </w:tc>
      </w:tr>
      <w:tr w:rsidR="00E6757B" w:rsidRPr="00C00360" w:rsidTr="00BE5828">
        <w:trPr>
          <w:cnfStyle w:val="000000100000" w:firstRow="0" w:lastRow="0" w:firstColumn="0" w:lastColumn="0" w:oddVBand="0" w:evenVBand="0" w:oddHBand="1" w:evenHBand="0" w:firstRowFirstColumn="0" w:firstRowLastColumn="0" w:lastRowFirstColumn="0" w:lastRowLastColumn="0"/>
          <w:trHeight w:val="20"/>
        </w:trPr>
        <w:tc>
          <w:tcPr>
            <w:tcW w:w="4141" w:type="pct"/>
          </w:tcPr>
          <w:p w:rsidR="00E6757B" w:rsidRPr="00C00360" w:rsidRDefault="00C7200E" w:rsidP="004A69D3">
            <w:pPr>
              <w:pStyle w:val="TableParagraph"/>
              <w:spacing w:line="360" w:lineRule="auto"/>
              <w:rPr>
                <w:rFonts w:asciiTheme="minorBidi" w:hAnsiTheme="minorBidi" w:cstheme="minorBidi"/>
                <w:sz w:val="28"/>
                <w:szCs w:val="28"/>
              </w:rPr>
            </w:pPr>
            <w:r w:rsidRPr="00C00360">
              <w:rPr>
                <w:rFonts w:asciiTheme="minorBidi" w:hAnsiTheme="minorBidi" w:cstheme="minorBidi"/>
                <w:sz w:val="28"/>
                <w:szCs w:val="28"/>
              </w:rPr>
              <w:t>Nerve desensitizing agent</w:t>
            </w:r>
          </w:p>
        </w:tc>
        <w:tc>
          <w:tcPr>
            <w:tcW w:w="859" w:type="pct"/>
          </w:tcPr>
          <w:p w:rsidR="00E6757B" w:rsidRPr="00C00360" w:rsidRDefault="00C61B45" w:rsidP="004A69D3">
            <w:pPr>
              <w:pStyle w:val="TableParagraph"/>
              <w:spacing w:line="360" w:lineRule="auto"/>
              <w:ind w:left="81"/>
              <w:jc w:val="center"/>
              <w:rPr>
                <w:rFonts w:asciiTheme="minorBidi" w:hAnsiTheme="minorBidi" w:cstheme="minorBidi"/>
                <w:sz w:val="28"/>
                <w:szCs w:val="28"/>
              </w:rPr>
            </w:pPr>
            <w:r w:rsidRPr="00C00360">
              <w:rPr>
                <w:rFonts w:asciiTheme="minorBidi" w:hAnsiTheme="minorBidi" w:cstheme="minorBidi"/>
                <w:sz w:val="28"/>
                <w:szCs w:val="28"/>
                <w:rtl/>
              </w:rPr>
              <w:t>1</w:t>
            </w:r>
            <w:r w:rsidRPr="00C00360">
              <w:rPr>
                <w:rFonts w:asciiTheme="minorBidi" w:hAnsiTheme="minorBidi" w:cstheme="minorBidi"/>
                <w:sz w:val="28"/>
                <w:szCs w:val="28"/>
              </w:rPr>
              <w:t>2</w:t>
            </w:r>
          </w:p>
        </w:tc>
      </w:tr>
      <w:tr w:rsidR="00E6757B" w:rsidRPr="00C00360" w:rsidTr="00BE5828">
        <w:trPr>
          <w:trHeight w:val="20"/>
        </w:trPr>
        <w:tc>
          <w:tcPr>
            <w:tcW w:w="4141" w:type="pct"/>
          </w:tcPr>
          <w:p w:rsidR="00E6757B" w:rsidRPr="00C00360" w:rsidRDefault="00C7200E" w:rsidP="004A69D3">
            <w:pPr>
              <w:pStyle w:val="TableParagraph"/>
              <w:spacing w:line="360" w:lineRule="auto"/>
              <w:rPr>
                <w:rFonts w:asciiTheme="minorBidi" w:hAnsiTheme="minorBidi" w:cstheme="minorBidi"/>
                <w:sz w:val="28"/>
                <w:szCs w:val="28"/>
              </w:rPr>
            </w:pPr>
            <w:r w:rsidRPr="00C00360">
              <w:rPr>
                <w:rFonts w:asciiTheme="minorBidi" w:hAnsiTheme="minorBidi" w:cstheme="minorBidi"/>
                <w:sz w:val="28"/>
                <w:szCs w:val="28"/>
              </w:rPr>
              <w:t>Desensitizing Agents that precipitate salivary protein</w:t>
            </w:r>
          </w:p>
        </w:tc>
        <w:tc>
          <w:tcPr>
            <w:tcW w:w="859" w:type="pct"/>
          </w:tcPr>
          <w:p w:rsidR="00E6757B" w:rsidRPr="00C00360" w:rsidRDefault="00C61B45" w:rsidP="004A69D3">
            <w:pPr>
              <w:pStyle w:val="TableParagraph"/>
              <w:spacing w:line="360" w:lineRule="auto"/>
              <w:ind w:left="81"/>
              <w:jc w:val="center"/>
              <w:rPr>
                <w:rFonts w:asciiTheme="minorBidi" w:hAnsiTheme="minorBidi" w:cstheme="minorBidi"/>
                <w:sz w:val="28"/>
                <w:szCs w:val="28"/>
              </w:rPr>
            </w:pPr>
            <w:r w:rsidRPr="00C00360">
              <w:rPr>
                <w:rFonts w:asciiTheme="minorBidi" w:hAnsiTheme="minorBidi" w:cstheme="minorBidi"/>
                <w:sz w:val="28"/>
                <w:szCs w:val="28"/>
                <w:rtl/>
              </w:rPr>
              <w:t>1</w:t>
            </w:r>
            <w:r w:rsidRPr="00C00360">
              <w:rPr>
                <w:rFonts w:asciiTheme="minorBidi" w:hAnsiTheme="minorBidi" w:cstheme="minorBidi"/>
                <w:sz w:val="28"/>
                <w:szCs w:val="28"/>
              </w:rPr>
              <w:t>2</w:t>
            </w:r>
          </w:p>
        </w:tc>
      </w:tr>
      <w:tr w:rsidR="00E6757B" w:rsidRPr="00C00360" w:rsidTr="00BE5828">
        <w:trPr>
          <w:cnfStyle w:val="000000100000" w:firstRow="0" w:lastRow="0" w:firstColumn="0" w:lastColumn="0" w:oddVBand="0" w:evenVBand="0" w:oddHBand="1" w:evenHBand="0" w:firstRowFirstColumn="0" w:firstRowLastColumn="0" w:lastRowFirstColumn="0" w:lastRowLastColumn="0"/>
          <w:trHeight w:val="20"/>
        </w:trPr>
        <w:tc>
          <w:tcPr>
            <w:tcW w:w="4141" w:type="pct"/>
          </w:tcPr>
          <w:p w:rsidR="00E6757B" w:rsidRPr="00C00360" w:rsidRDefault="00C7200E" w:rsidP="004A69D3">
            <w:pPr>
              <w:pStyle w:val="TableParagraph"/>
              <w:spacing w:line="360" w:lineRule="auto"/>
              <w:rPr>
                <w:rFonts w:asciiTheme="minorBidi" w:hAnsiTheme="minorBidi" w:cstheme="minorBidi"/>
                <w:sz w:val="28"/>
                <w:szCs w:val="28"/>
              </w:rPr>
            </w:pPr>
            <w:r w:rsidRPr="00C00360">
              <w:rPr>
                <w:rFonts w:asciiTheme="minorBidi" w:hAnsiTheme="minorBidi" w:cstheme="minorBidi"/>
                <w:sz w:val="28"/>
                <w:szCs w:val="28"/>
              </w:rPr>
              <w:t>Desensitizing Agents\techniques that precipitates   dentin like minerals</w:t>
            </w:r>
          </w:p>
        </w:tc>
        <w:tc>
          <w:tcPr>
            <w:tcW w:w="859" w:type="pct"/>
          </w:tcPr>
          <w:p w:rsidR="00E6757B" w:rsidRPr="00C00360" w:rsidRDefault="00C61B45" w:rsidP="004A69D3">
            <w:pPr>
              <w:pStyle w:val="TableParagraph"/>
              <w:spacing w:line="360" w:lineRule="auto"/>
              <w:ind w:left="81"/>
              <w:jc w:val="center"/>
              <w:rPr>
                <w:rFonts w:asciiTheme="minorBidi" w:hAnsiTheme="minorBidi" w:cstheme="minorBidi"/>
                <w:sz w:val="28"/>
                <w:szCs w:val="28"/>
              </w:rPr>
            </w:pPr>
            <w:r w:rsidRPr="00C00360">
              <w:rPr>
                <w:rFonts w:asciiTheme="minorBidi" w:hAnsiTheme="minorBidi" w:cstheme="minorBidi"/>
                <w:sz w:val="28"/>
                <w:szCs w:val="28"/>
              </w:rPr>
              <w:t>14</w:t>
            </w:r>
          </w:p>
        </w:tc>
      </w:tr>
      <w:tr w:rsidR="00E6757B" w:rsidRPr="00C00360" w:rsidTr="00BE5828">
        <w:trPr>
          <w:trHeight w:val="20"/>
        </w:trPr>
        <w:tc>
          <w:tcPr>
            <w:tcW w:w="4141" w:type="pct"/>
          </w:tcPr>
          <w:p w:rsidR="00E6757B" w:rsidRPr="00C00360" w:rsidRDefault="00C7200E" w:rsidP="004A69D3">
            <w:pPr>
              <w:pStyle w:val="TableParagraph"/>
              <w:spacing w:line="360" w:lineRule="auto"/>
              <w:rPr>
                <w:rFonts w:asciiTheme="minorBidi" w:hAnsiTheme="minorBidi" w:cstheme="minorBidi"/>
                <w:sz w:val="28"/>
                <w:szCs w:val="28"/>
              </w:rPr>
            </w:pPr>
            <w:r w:rsidRPr="00C00360">
              <w:rPr>
                <w:rFonts w:asciiTheme="minorBidi" w:hAnsiTheme="minorBidi" w:cstheme="minorBidi"/>
                <w:sz w:val="28"/>
                <w:szCs w:val="28"/>
              </w:rPr>
              <w:t>Anti-inflammatory Desensitizing agents</w:t>
            </w:r>
          </w:p>
        </w:tc>
        <w:tc>
          <w:tcPr>
            <w:tcW w:w="859" w:type="pct"/>
          </w:tcPr>
          <w:p w:rsidR="00E6757B" w:rsidRPr="00C00360" w:rsidRDefault="00C61B45" w:rsidP="004A69D3">
            <w:pPr>
              <w:pStyle w:val="TableParagraph"/>
              <w:spacing w:line="360" w:lineRule="auto"/>
              <w:ind w:left="81"/>
              <w:jc w:val="center"/>
              <w:rPr>
                <w:rFonts w:asciiTheme="minorBidi" w:hAnsiTheme="minorBidi" w:cstheme="minorBidi"/>
                <w:sz w:val="28"/>
                <w:szCs w:val="28"/>
              </w:rPr>
            </w:pPr>
            <w:r w:rsidRPr="00C00360">
              <w:rPr>
                <w:rFonts w:asciiTheme="minorBidi" w:hAnsiTheme="minorBidi" w:cstheme="minorBidi"/>
                <w:sz w:val="28"/>
                <w:szCs w:val="28"/>
              </w:rPr>
              <w:t>18</w:t>
            </w:r>
          </w:p>
        </w:tc>
      </w:tr>
      <w:tr w:rsidR="00E6757B" w:rsidRPr="00C00360" w:rsidTr="00BE5828">
        <w:trPr>
          <w:cnfStyle w:val="000000100000" w:firstRow="0" w:lastRow="0" w:firstColumn="0" w:lastColumn="0" w:oddVBand="0" w:evenVBand="0" w:oddHBand="1" w:evenHBand="0" w:firstRowFirstColumn="0" w:firstRowLastColumn="0" w:lastRowFirstColumn="0" w:lastRowLastColumn="0"/>
          <w:trHeight w:val="20"/>
        </w:trPr>
        <w:tc>
          <w:tcPr>
            <w:tcW w:w="4141" w:type="pct"/>
          </w:tcPr>
          <w:p w:rsidR="00E6757B" w:rsidRPr="00C00360" w:rsidRDefault="00C7200E" w:rsidP="004A69D3">
            <w:pPr>
              <w:pStyle w:val="TableParagraph"/>
              <w:spacing w:line="360" w:lineRule="auto"/>
              <w:rPr>
                <w:rFonts w:asciiTheme="minorBidi" w:hAnsiTheme="minorBidi" w:cstheme="minorBidi"/>
                <w:sz w:val="28"/>
                <w:szCs w:val="28"/>
              </w:rPr>
            </w:pPr>
            <w:r w:rsidRPr="00C00360">
              <w:rPr>
                <w:rFonts w:asciiTheme="minorBidi" w:hAnsiTheme="minorBidi" w:cstheme="minorBidi"/>
                <w:sz w:val="28"/>
                <w:szCs w:val="28"/>
              </w:rPr>
              <w:t>Desensitizing Agents that lead to precipitation of calcium and phosphates</w:t>
            </w:r>
          </w:p>
        </w:tc>
        <w:tc>
          <w:tcPr>
            <w:tcW w:w="859" w:type="pct"/>
          </w:tcPr>
          <w:p w:rsidR="00E6757B" w:rsidRPr="00C00360" w:rsidRDefault="00C61B45" w:rsidP="004A69D3">
            <w:pPr>
              <w:pStyle w:val="TableParagraph"/>
              <w:spacing w:line="360" w:lineRule="auto"/>
              <w:ind w:left="81"/>
              <w:jc w:val="center"/>
              <w:rPr>
                <w:rFonts w:asciiTheme="minorBidi" w:hAnsiTheme="minorBidi" w:cstheme="minorBidi"/>
                <w:sz w:val="28"/>
                <w:szCs w:val="28"/>
              </w:rPr>
            </w:pPr>
            <w:r w:rsidRPr="00C00360">
              <w:rPr>
                <w:rFonts w:asciiTheme="minorBidi" w:hAnsiTheme="minorBidi" w:cstheme="minorBidi"/>
                <w:sz w:val="28"/>
                <w:szCs w:val="28"/>
              </w:rPr>
              <w:t>18</w:t>
            </w:r>
          </w:p>
        </w:tc>
      </w:tr>
      <w:tr w:rsidR="00E6757B" w:rsidRPr="00C00360" w:rsidTr="00BE5828">
        <w:trPr>
          <w:trHeight w:val="20"/>
        </w:trPr>
        <w:tc>
          <w:tcPr>
            <w:tcW w:w="4141" w:type="pct"/>
          </w:tcPr>
          <w:p w:rsidR="00E6757B" w:rsidRPr="00C00360" w:rsidRDefault="00C7200E" w:rsidP="004A69D3">
            <w:pPr>
              <w:pStyle w:val="TableParagraph"/>
              <w:spacing w:line="360" w:lineRule="auto"/>
              <w:rPr>
                <w:rFonts w:asciiTheme="minorBidi" w:hAnsiTheme="minorBidi" w:cstheme="minorBidi"/>
                <w:sz w:val="28"/>
                <w:szCs w:val="28"/>
              </w:rPr>
            </w:pPr>
            <w:r w:rsidRPr="00C00360">
              <w:rPr>
                <w:rFonts w:asciiTheme="minorBidi" w:hAnsiTheme="minorBidi" w:cstheme="minorBidi"/>
                <w:sz w:val="28"/>
                <w:szCs w:val="28"/>
              </w:rPr>
              <w:t>New agents for management of hypersensitivity</w:t>
            </w:r>
          </w:p>
        </w:tc>
        <w:tc>
          <w:tcPr>
            <w:tcW w:w="859" w:type="pct"/>
          </w:tcPr>
          <w:p w:rsidR="00E6757B" w:rsidRPr="00C00360" w:rsidRDefault="00C61B45" w:rsidP="00C7200E">
            <w:pPr>
              <w:pStyle w:val="TableParagraph"/>
              <w:spacing w:line="360" w:lineRule="auto"/>
              <w:ind w:left="81"/>
              <w:jc w:val="center"/>
              <w:rPr>
                <w:rFonts w:asciiTheme="minorBidi" w:hAnsiTheme="minorBidi" w:cstheme="minorBidi"/>
                <w:sz w:val="28"/>
                <w:szCs w:val="28"/>
              </w:rPr>
            </w:pPr>
            <w:r w:rsidRPr="00C00360">
              <w:rPr>
                <w:rFonts w:asciiTheme="minorBidi" w:hAnsiTheme="minorBidi" w:cstheme="minorBidi"/>
                <w:sz w:val="28"/>
                <w:szCs w:val="28"/>
              </w:rPr>
              <w:t>20</w:t>
            </w:r>
          </w:p>
        </w:tc>
      </w:tr>
      <w:tr w:rsidR="00E6757B" w:rsidRPr="00C00360" w:rsidTr="00BE5828">
        <w:trPr>
          <w:cnfStyle w:val="000000100000" w:firstRow="0" w:lastRow="0" w:firstColumn="0" w:lastColumn="0" w:oddVBand="0" w:evenVBand="0" w:oddHBand="1" w:evenHBand="0" w:firstRowFirstColumn="0" w:firstRowLastColumn="0" w:lastRowFirstColumn="0" w:lastRowLastColumn="0"/>
          <w:trHeight w:val="20"/>
        </w:trPr>
        <w:tc>
          <w:tcPr>
            <w:tcW w:w="4141" w:type="pct"/>
          </w:tcPr>
          <w:p w:rsidR="00E6757B" w:rsidRPr="00C00360" w:rsidRDefault="0047324C" w:rsidP="004A69D3">
            <w:pPr>
              <w:pStyle w:val="TableParagraph"/>
              <w:spacing w:line="360" w:lineRule="auto"/>
              <w:rPr>
                <w:rFonts w:asciiTheme="minorBidi" w:hAnsiTheme="minorBidi" w:cstheme="minorBidi"/>
                <w:sz w:val="28"/>
                <w:szCs w:val="28"/>
              </w:rPr>
            </w:pPr>
            <w:r w:rsidRPr="00C00360">
              <w:rPr>
                <w:rFonts w:asciiTheme="minorBidi" w:hAnsiTheme="minorBidi" w:cstheme="minorBidi"/>
                <w:sz w:val="28"/>
                <w:szCs w:val="28"/>
              </w:rPr>
              <w:t>Heal Ozone treatment</w:t>
            </w:r>
          </w:p>
        </w:tc>
        <w:tc>
          <w:tcPr>
            <w:tcW w:w="859" w:type="pct"/>
          </w:tcPr>
          <w:p w:rsidR="00E6757B" w:rsidRPr="00C00360" w:rsidRDefault="00C61B45" w:rsidP="004A69D3">
            <w:pPr>
              <w:pStyle w:val="TableParagraph"/>
              <w:spacing w:line="360" w:lineRule="auto"/>
              <w:ind w:left="81"/>
              <w:jc w:val="center"/>
              <w:rPr>
                <w:rFonts w:asciiTheme="minorBidi" w:hAnsiTheme="minorBidi" w:cstheme="minorBidi"/>
                <w:sz w:val="28"/>
                <w:szCs w:val="28"/>
              </w:rPr>
            </w:pPr>
            <w:r w:rsidRPr="00C00360">
              <w:rPr>
                <w:rFonts w:asciiTheme="minorBidi" w:hAnsiTheme="minorBidi" w:cstheme="minorBidi"/>
                <w:sz w:val="28"/>
                <w:szCs w:val="28"/>
              </w:rPr>
              <w:t>20</w:t>
            </w:r>
          </w:p>
        </w:tc>
      </w:tr>
      <w:tr w:rsidR="00E6757B" w:rsidRPr="00C00360" w:rsidTr="00BE5828">
        <w:trPr>
          <w:trHeight w:val="20"/>
        </w:trPr>
        <w:tc>
          <w:tcPr>
            <w:tcW w:w="4141" w:type="pct"/>
          </w:tcPr>
          <w:p w:rsidR="00E6757B" w:rsidRPr="00C00360" w:rsidRDefault="0047324C" w:rsidP="004A69D3">
            <w:pPr>
              <w:pStyle w:val="TableParagraph"/>
              <w:spacing w:line="360" w:lineRule="auto"/>
              <w:rPr>
                <w:rFonts w:asciiTheme="minorBidi" w:hAnsiTheme="minorBidi" w:cstheme="minorBidi"/>
                <w:sz w:val="28"/>
                <w:szCs w:val="28"/>
              </w:rPr>
            </w:pPr>
            <w:r w:rsidRPr="00C00360">
              <w:rPr>
                <w:rFonts w:asciiTheme="minorBidi" w:hAnsiTheme="minorBidi" w:cstheme="minorBidi"/>
                <w:sz w:val="28"/>
                <w:szCs w:val="28"/>
              </w:rPr>
              <w:t>Laser application</w:t>
            </w:r>
          </w:p>
        </w:tc>
        <w:tc>
          <w:tcPr>
            <w:tcW w:w="859" w:type="pct"/>
          </w:tcPr>
          <w:p w:rsidR="00E6757B" w:rsidRPr="00C00360" w:rsidRDefault="00C61B45" w:rsidP="004A69D3">
            <w:pPr>
              <w:pStyle w:val="TableParagraph"/>
              <w:spacing w:line="360" w:lineRule="auto"/>
              <w:ind w:left="81"/>
              <w:jc w:val="center"/>
              <w:rPr>
                <w:rFonts w:asciiTheme="minorBidi" w:hAnsiTheme="minorBidi" w:cstheme="minorBidi"/>
                <w:spacing w:val="-5"/>
                <w:sz w:val="28"/>
                <w:szCs w:val="28"/>
              </w:rPr>
            </w:pPr>
            <w:r w:rsidRPr="00C00360">
              <w:rPr>
                <w:rFonts w:asciiTheme="minorBidi" w:hAnsiTheme="minorBidi" w:cstheme="minorBidi"/>
                <w:spacing w:val="-5"/>
                <w:sz w:val="28"/>
                <w:szCs w:val="28"/>
              </w:rPr>
              <w:t>20</w:t>
            </w:r>
          </w:p>
        </w:tc>
      </w:tr>
      <w:tr w:rsidR="00E6757B" w:rsidRPr="00C00360" w:rsidTr="00BE5828">
        <w:trPr>
          <w:cnfStyle w:val="000000100000" w:firstRow="0" w:lastRow="0" w:firstColumn="0" w:lastColumn="0" w:oddVBand="0" w:evenVBand="0" w:oddHBand="1" w:evenHBand="0" w:firstRowFirstColumn="0" w:firstRowLastColumn="0" w:lastRowFirstColumn="0" w:lastRowLastColumn="0"/>
          <w:trHeight w:val="20"/>
        </w:trPr>
        <w:tc>
          <w:tcPr>
            <w:tcW w:w="4141" w:type="pct"/>
          </w:tcPr>
          <w:p w:rsidR="00E6757B" w:rsidRPr="00C00360" w:rsidRDefault="0047324C" w:rsidP="004A69D3">
            <w:pPr>
              <w:pStyle w:val="TableParagraph"/>
              <w:spacing w:line="360" w:lineRule="auto"/>
              <w:rPr>
                <w:rFonts w:asciiTheme="minorBidi" w:hAnsiTheme="minorBidi" w:cstheme="minorBidi"/>
                <w:sz w:val="28"/>
                <w:szCs w:val="28"/>
              </w:rPr>
            </w:pPr>
            <w:r w:rsidRPr="00C00360">
              <w:rPr>
                <w:rFonts w:asciiTheme="minorBidi" w:hAnsiTheme="minorBidi" w:cstheme="minorBidi"/>
                <w:sz w:val="28"/>
                <w:szCs w:val="28"/>
              </w:rPr>
              <w:t>Restorative materials</w:t>
            </w:r>
          </w:p>
        </w:tc>
        <w:tc>
          <w:tcPr>
            <w:tcW w:w="859" w:type="pct"/>
          </w:tcPr>
          <w:p w:rsidR="00E6757B" w:rsidRPr="00C00360" w:rsidRDefault="00E6757B" w:rsidP="0047324C">
            <w:pPr>
              <w:pStyle w:val="TableParagraph"/>
              <w:spacing w:line="360" w:lineRule="auto"/>
              <w:ind w:left="81"/>
              <w:jc w:val="center"/>
              <w:rPr>
                <w:rFonts w:asciiTheme="minorBidi" w:hAnsiTheme="minorBidi" w:cstheme="minorBidi"/>
                <w:spacing w:val="-5"/>
                <w:sz w:val="28"/>
                <w:szCs w:val="28"/>
              </w:rPr>
            </w:pPr>
            <w:r w:rsidRPr="00C00360">
              <w:rPr>
                <w:rFonts w:asciiTheme="minorBidi" w:hAnsiTheme="minorBidi" w:cstheme="minorBidi"/>
                <w:spacing w:val="-5"/>
                <w:sz w:val="28"/>
                <w:szCs w:val="28"/>
              </w:rPr>
              <w:t>2</w:t>
            </w:r>
            <w:r w:rsidR="00C61B45" w:rsidRPr="00C00360">
              <w:rPr>
                <w:rFonts w:asciiTheme="minorBidi" w:hAnsiTheme="minorBidi" w:cstheme="minorBidi"/>
                <w:spacing w:val="-5"/>
                <w:sz w:val="28"/>
                <w:szCs w:val="28"/>
              </w:rPr>
              <w:t>5</w:t>
            </w:r>
          </w:p>
        </w:tc>
      </w:tr>
      <w:tr w:rsidR="00E6757B" w:rsidRPr="00C00360" w:rsidTr="00BE5828">
        <w:trPr>
          <w:trHeight w:val="20"/>
        </w:trPr>
        <w:tc>
          <w:tcPr>
            <w:tcW w:w="4141" w:type="pct"/>
          </w:tcPr>
          <w:p w:rsidR="00E6757B" w:rsidRPr="00C00360" w:rsidRDefault="0047324C" w:rsidP="004A69D3">
            <w:pPr>
              <w:pStyle w:val="TableParagraph"/>
              <w:spacing w:line="360" w:lineRule="auto"/>
              <w:rPr>
                <w:rFonts w:asciiTheme="minorBidi" w:hAnsiTheme="minorBidi" w:cstheme="minorBidi"/>
                <w:sz w:val="28"/>
                <w:szCs w:val="28"/>
              </w:rPr>
            </w:pPr>
            <w:r w:rsidRPr="00C00360">
              <w:rPr>
                <w:rFonts w:asciiTheme="minorBidi" w:hAnsiTheme="minorBidi" w:cstheme="minorBidi"/>
                <w:sz w:val="28"/>
                <w:szCs w:val="28"/>
              </w:rPr>
              <w:t>Conclusion</w:t>
            </w:r>
          </w:p>
        </w:tc>
        <w:tc>
          <w:tcPr>
            <w:tcW w:w="859" w:type="pct"/>
          </w:tcPr>
          <w:p w:rsidR="00CC1ABD" w:rsidRPr="00C00360" w:rsidRDefault="00E6757B" w:rsidP="00CC1ABD">
            <w:pPr>
              <w:pStyle w:val="TableParagraph"/>
              <w:spacing w:line="360" w:lineRule="auto"/>
              <w:ind w:left="81"/>
              <w:jc w:val="center"/>
              <w:rPr>
                <w:rFonts w:asciiTheme="minorBidi" w:hAnsiTheme="minorBidi" w:cstheme="minorBidi"/>
                <w:spacing w:val="-5"/>
                <w:sz w:val="28"/>
                <w:szCs w:val="28"/>
              </w:rPr>
            </w:pPr>
            <w:r w:rsidRPr="00C00360">
              <w:rPr>
                <w:rFonts w:asciiTheme="minorBidi" w:hAnsiTheme="minorBidi" w:cstheme="minorBidi"/>
                <w:spacing w:val="-5"/>
                <w:sz w:val="28"/>
                <w:szCs w:val="28"/>
              </w:rPr>
              <w:t>2</w:t>
            </w:r>
            <w:r w:rsidR="00C61B45" w:rsidRPr="00C00360">
              <w:rPr>
                <w:rFonts w:asciiTheme="minorBidi" w:hAnsiTheme="minorBidi" w:cstheme="minorBidi"/>
                <w:spacing w:val="-5"/>
                <w:sz w:val="28"/>
                <w:szCs w:val="28"/>
              </w:rPr>
              <w:t>8</w:t>
            </w:r>
          </w:p>
        </w:tc>
      </w:tr>
      <w:tr w:rsidR="00CC1ABD" w:rsidRPr="00C00360" w:rsidTr="00BE5828">
        <w:trPr>
          <w:cnfStyle w:val="000000100000" w:firstRow="0" w:lastRow="0" w:firstColumn="0" w:lastColumn="0" w:oddVBand="0" w:evenVBand="0" w:oddHBand="1" w:evenHBand="0" w:firstRowFirstColumn="0" w:firstRowLastColumn="0" w:lastRowFirstColumn="0" w:lastRowLastColumn="0"/>
          <w:trHeight w:val="20"/>
        </w:trPr>
        <w:tc>
          <w:tcPr>
            <w:tcW w:w="4141" w:type="pct"/>
          </w:tcPr>
          <w:p w:rsidR="00CC1ABD" w:rsidRPr="00C00360" w:rsidRDefault="00CC1ABD" w:rsidP="004A69D3">
            <w:pPr>
              <w:pStyle w:val="TableParagraph"/>
              <w:spacing w:line="360" w:lineRule="auto"/>
              <w:rPr>
                <w:rFonts w:asciiTheme="minorBidi" w:hAnsiTheme="minorBidi" w:cstheme="minorBidi"/>
                <w:sz w:val="28"/>
                <w:szCs w:val="28"/>
              </w:rPr>
            </w:pPr>
            <w:r w:rsidRPr="00C00360">
              <w:rPr>
                <w:rFonts w:asciiTheme="minorBidi" w:hAnsiTheme="minorBidi" w:cstheme="minorBidi"/>
                <w:sz w:val="28"/>
                <w:szCs w:val="28"/>
              </w:rPr>
              <w:t>References</w:t>
            </w:r>
          </w:p>
        </w:tc>
        <w:tc>
          <w:tcPr>
            <w:tcW w:w="859" w:type="pct"/>
          </w:tcPr>
          <w:p w:rsidR="00CC1ABD" w:rsidRPr="00C00360" w:rsidRDefault="00A918E9" w:rsidP="00CC1ABD">
            <w:pPr>
              <w:pStyle w:val="TableParagraph"/>
              <w:spacing w:line="360" w:lineRule="auto"/>
              <w:ind w:left="81"/>
              <w:jc w:val="center"/>
              <w:rPr>
                <w:rFonts w:asciiTheme="minorBidi" w:hAnsiTheme="minorBidi" w:cstheme="minorBidi"/>
                <w:spacing w:val="-5"/>
                <w:sz w:val="28"/>
                <w:szCs w:val="28"/>
              </w:rPr>
            </w:pPr>
            <w:r w:rsidRPr="00C00360">
              <w:rPr>
                <w:rFonts w:asciiTheme="minorBidi" w:hAnsiTheme="minorBidi" w:cstheme="minorBidi"/>
                <w:spacing w:val="-5"/>
                <w:sz w:val="28"/>
                <w:szCs w:val="28"/>
              </w:rPr>
              <w:t>28</w:t>
            </w:r>
          </w:p>
        </w:tc>
      </w:tr>
    </w:tbl>
    <w:p w:rsidR="0047324C" w:rsidRDefault="0047324C" w:rsidP="0047324C">
      <w:pPr>
        <w:pStyle w:val="Heading1"/>
        <w:spacing w:before="0"/>
        <w:rPr>
          <w:rFonts w:asciiTheme="majorBidi" w:hAnsiTheme="majorBidi"/>
          <w:spacing w:val="-2"/>
          <w:sz w:val="28"/>
          <w:szCs w:val="28"/>
        </w:rPr>
      </w:pPr>
    </w:p>
    <w:p w:rsidR="000F1F6F" w:rsidRPr="00C00360" w:rsidRDefault="0047324C" w:rsidP="0047324C">
      <w:pPr>
        <w:pStyle w:val="Heading1"/>
        <w:spacing w:before="0"/>
        <w:jc w:val="center"/>
        <w:rPr>
          <w:rFonts w:asciiTheme="minorBidi" w:hAnsiTheme="minorBidi" w:cstheme="minorBidi"/>
          <w:spacing w:val="-2"/>
          <w:sz w:val="36"/>
          <w:szCs w:val="36"/>
          <w:rtl/>
        </w:rPr>
      </w:pPr>
      <w:r w:rsidRPr="00C00360">
        <w:rPr>
          <w:rFonts w:asciiTheme="minorBidi" w:hAnsiTheme="minorBidi" w:cstheme="minorBidi"/>
          <w:spacing w:val="-2"/>
          <w:sz w:val="36"/>
          <w:szCs w:val="36"/>
        </w:rPr>
        <w:t>List of figures</w:t>
      </w:r>
    </w:p>
    <w:tbl>
      <w:tblPr>
        <w:tblStyle w:val="GridTable4-Accent3"/>
        <w:tblW w:w="5000" w:type="pct"/>
        <w:tblLook w:val="0420" w:firstRow="1" w:lastRow="0" w:firstColumn="0" w:lastColumn="0" w:noHBand="0" w:noVBand="1"/>
      </w:tblPr>
      <w:tblGrid>
        <w:gridCol w:w="1814"/>
        <w:gridCol w:w="5905"/>
        <w:gridCol w:w="1631"/>
      </w:tblGrid>
      <w:tr w:rsidR="000F1F6F" w:rsidRPr="00C00360" w:rsidTr="00BE5828">
        <w:trPr>
          <w:cnfStyle w:val="100000000000" w:firstRow="1" w:lastRow="0" w:firstColumn="0" w:lastColumn="0" w:oddVBand="0" w:evenVBand="0" w:oddHBand="0" w:evenHBand="0" w:firstRowFirstColumn="0" w:firstRowLastColumn="0" w:lastRowFirstColumn="0" w:lastRowLastColumn="0"/>
          <w:trHeight w:val="20"/>
        </w:trPr>
        <w:tc>
          <w:tcPr>
            <w:tcW w:w="970" w:type="pct"/>
          </w:tcPr>
          <w:p w:rsidR="000F1F6F" w:rsidRPr="00C00360" w:rsidRDefault="000F1F6F" w:rsidP="004A69D3">
            <w:pPr>
              <w:pStyle w:val="TableParagraph"/>
              <w:spacing w:line="360" w:lineRule="auto"/>
              <w:ind w:left="0"/>
              <w:jc w:val="center"/>
              <w:rPr>
                <w:rFonts w:asciiTheme="minorBidi" w:hAnsiTheme="minorBidi" w:cstheme="minorBidi"/>
                <w:sz w:val="28"/>
                <w:szCs w:val="28"/>
              </w:rPr>
            </w:pPr>
            <w:r w:rsidRPr="00C00360">
              <w:rPr>
                <w:rFonts w:asciiTheme="minorBidi" w:hAnsiTheme="minorBidi" w:cstheme="minorBidi"/>
                <w:color w:val="FFFFFF"/>
                <w:sz w:val="28"/>
                <w:szCs w:val="28"/>
              </w:rPr>
              <w:t>Figure</w:t>
            </w:r>
            <w:r w:rsidRPr="00C00360">
              <w:rPr>
                <w:rFonts w:asciiTheme="minorBidi" w:hAnsiTheme="minorBidi" w:cstheme="minorBidi"/>
                <w:color w:val="FFFFFF"/>
                <w:spacing w:val="-11"/>
                <w:sz w:val="28"/>
                <w:szCs w:val="28"/>
              </w:rPr>
              <w:t xml:space="preserve"> </w:t>
            </w:r>
            <w:r w:rsidRPr="00C00360">
              <w:rPr>
                <w:rFonts w:asciiTheme="minorBidi" w:hAnsiTheme="minorBidi" w:cstheme="minorBidi"/>
                <w:color w:val="FFFFFF"/>
                <w:spacing w:val="-5"/>
                <w:sz w:val="28"/>
                <w:szCs w:val="28"/>
              </w:rPr>
              <w:t>No.</w:t>
            </w:r>
          </w:p>
        </w:tc>
        <w:tc>
          <w:tcPr>
            <w:tcW w:w="3158" w:type="pct"/>
          </w:tcPr>
          <w:p w:rsidR="000F1F6F" w:rsidRPr="00C00360" w:rsidRDefault="000F1F6F" w:rsidP="004A69D3">
            <w:pPr>
              <w:pStyle w:val="TableParagraph"/>
              <w:spacing w:line="360" w:lineRule="auto"/>
              <w:ind w:left="0"/>
              <w:jc w:val="center"/>
              <w:rPr>
                <w:rFonts w:asciiTheme="minorBidi" w:hAnsiTheme="minorBidi" w:cstheme="minorBidi"/>
                <w:sz w:val="28"/>
                <w:szCs w:val="28"/>
              </w:rPr>
            </w:pPr>
            <w:r w:rsidRPr="00C00360">
              <w:rPr>
                <w:rFonts w:asciiTheme="minorBidi" w:hAnsiTheme="minorBidi" w:cstheme="minorBidi"/>
                <w:color w:val="FFFFFF"/>
                <w:sz w:val="28"/>
                <w:szCs w:val="28"/>
              </w:rPr>
              <w:t>Figure</w:t>
            </w:r>
            <w:r w:rsidRPr="00C00360">
              <w:rPr>
                <w:rFonts w:asciiTheme="minorBidi" w:hAnsiTheme="minorBidi" w:cstheme="minorBidi"/>
                <w:color w:val="FFFFFF"/>
                <w:spacing w:val="-11"/>
                <w:sz w:val="28"/>
                <w:szCs w:val="28"/>
              </w:rPr>
              <w:t xml:space="preserve"> </w:t>
            </w:r>
            <w:r w:rsidRPr="00C00360">
              <w:rPr>
                <w:rFonts w:asciiTheme="minorBidi" w:hAnsiTheme="minorBidi" w:cstheme="minorBidi"/>
                <w:color w:val="FFFFFF"/>
                <w:spacing w:val="-2"/>
                <w:sz w:val="28"/>
                <w:szCs w:val="28"/>
              </w:rPr>
              <w:t>Title</w:t>
            </w:r>
          </w:p>
        </w:tc>
        <w:tc>
          <w:tcPr>
            <w:tcW w:w="872" w:type="pct"/>
          </w:tcPr>
          <w:p w:rsidR="000F1F6F" w:rsidRPr="00C00360" w:rsidRDefault="000F1F6F" w:rsidP="004A69D3">
            <w:pPr>
              <w:pStyle w:val="TableParagraph"/>
              <w:spacing w:line="360" w:lineRule="auto"/>
              <w:ind w:left="0"/>
              <w:jc w:val="center"/>
              <w:rPr>
                <w:rFonts w:asciiTheme="minorBidi" w:hAnsiTheme="minorBidi" w:cstheme="minorBidi"/>
                <w:sz w:val="28"/>
                <w:szCs w:val="28"/>
              </w:rPr>
            </w:pPr>
            <w:r w:rsidRPr="00C00360">
              <w:rPr>
                <w:rFonts w:asciiTheme="minorBidi" w:hAnsiTheme="minorBidi" w:cstheme="minorBidi"/>
                <w:color w:val="FFFFFF"/>
                <w:sz w:val="28"/>
                <w:szCs w:val="28"/>
              </w:rPr>
              <w:t>Page</w:t>
            </w:r>
            <w:r w:rsidRPr="00C00360">
              <w:rPr>
                <w:rFonts w:asciiTheme="minorBidi" w:hAnsiTheme="minorBidi" w:cstheme="minorBidi"/>
                <w:color w:val="FFFFFF"/>
                <w:spacing w:val="-8"/>
                <w:sz w:val="28"/>
                <w:szCs w:val="28"/>
              </w:rPr>
              <w:t xml:space="preserve"> </w:t>
            </w:r>
            <w:r w:rsidRPr="00C00360">
              <w:rPr>
                <w:rFonts w:asciiTheme="minorBidi" w:hAnsiTheme="minorBidi" w:cstheme="minorBidi"/>
                <w:color w:val="FFFFFF"/>
                <w:spacing w:val="-5"/>
                <w:sz w:val="28"/>
                <w:szCs w:val="28"/>
              </w:rPr>
              <w:t>No.</w:t>
            </w:r>
          </w:p>
        </w:tc>
      </w:tr>
      <w:tr w:rsidR="000F1F6F" w:rsidRPr="00C00360" w:rsidTr="00BE5828">
        <w:trPr>
          <w:cnfStyle w:val="000000100000" w:firstRow="0" w:lastRow="0" w:firstColumn="0" w:lastColumn="0" w:oddVBand="0" w:evenVBand="0" w:oddHBand="1" w:evenHBand="0" w:firstRowFirstColumn="0" w:firstRowLastColumn="0" w:lastRowFirstColumn="0" w:lastRowLastColumn="0"/>
          <w:trHeight w:val="20"/>
        </w:trPr>
        <w:tc>
          <w:tcPr>
            <w:tcW w:w="970" w:type="pct"/>
          </w:tcPr>
          <w:p w:rsidR="000F1F6F" w:rsidRPr="00C00360" w:rsidRDefault="0047324C" w:rsidP="004A69D3">
            <w:pPr>
              <w:pStyle w:val="TableParagraph"/>
              <w:spacing w:line="360" w:lineRule="auto"/>
              <w:ind w:left="0"/>
              <w:jc w:val="center"/>
              <w:rPr>
                <w:rFonts w:asciiTheme="minorBidi" w:hAnsiTheme="minorBidi" w:cstheme="minorBidi"/>
                <w:b/>
                <w:sz w:val="28"/>
                <w:szCs w:val="28"/>
              </w:rPr>
            </w:pPr>
            <w:r w:rsidRPr="00C00360">
              <w:rPr>
                <w:rFonts w:asciiTheme="minorBidi" w:hAnsiTheme="minorBidi" w:cstheme="minorBidi"/>
                <w:b/>
                <w:spacing w:val="-5"/>
                <w:sz w:val="28"/>
                <w:szCs w:val="28"/>
              </w:rPr>
              <w:t>1</w:t>
            </w:r>
          </w:p>
        </w:tc>
        <w:tc>
          <w:tcPr>
            <w:tcW w:w="3158" w:type="pct"/>
          </w:tcPr>
          <w:p w:rsidR="000F1F6F" w:rsidRPr="00C00360" w:rsidRDefault="0047324C" w:rsidP="004A69D3">
            <w:pPr>
              <w:pStyle w:val="TableParagraph"/>
              <w:spacing w:line="360" w:lineRule="auto"/>
              <w:ind w:left="0"/>
              <w:rPr>
                <w:rFonts w:asciiTheme="minorBidi" w:hAnsiTheme="minorBidi" w:cstheme="minorBidi"/>
                <w:sz w:val="28"/>
                <w:szCs w:val="28"/>
              </w:rPr>
            </w:pPr>
            <w:r w:rsidRPr="00C00360">
              <w:rPr>
                <w:rFonts w:asciiTheme="minorBidi" w:hAnsiTheme="minorBidi" w:cstheme="minorBidi"/>
                <w:sz w:val="28"/>
                <w:szCs w:val="28"/>
              </w:rPr>
              <w:t>Scanning electron micrograph of dentin with open dentinal tubules</w:t>
            </w:r>
          </w:p>
        </w:tc>
        <w:tc>
          <w:tcPr>
            <w:tcW w:w="872" w:type="pct"/>
          </w:tcPr>
          <w:p w:rsidR="000F1F6F" w:rsidRPr="00C00360" w:rsidRDefault="0047324C" w:rsidP="004A69D3">
            <w:pPr>
              <w:pStyle w:val="TableParagraph"/>
              <w:spacing w:line="360" w:lineRule="auto"/>
              <w:ind w:left="0"/>
              <w:jc w:val="center"/>
              <w:rPr>
                <w:rFonts w:asciiTheme="minorBidi" w:hAnsiTheme="minorBidi" w:cstheme="minorBidi"/>
                <w:sz w:val="28"/>
                <w:szCs w:val="28"/>
              </w:rPr>
            </w:pPr>
            <w:r w:rsidRPr="00C00360">
              <w:rPr>
                <w:rFonts w:asciiTheme="minorBidi" w:hAnsiTheme="minorBidi" w:cstheme="minorBidi"/>
                <w:spacing w:val="-5"/>
                <w:sz w:val="28"/>
                <w:szCs w:val="28"/>
              </w:rPr>
              <w:t>3</w:t>
            </w:r>
          </w:p>
        </w:tc>
      </w:tr>
      <w:tr w:rsidR="000F1F6F" w:rsidRPr="00C00360" w:rsidTr="00BE5828">
        <w:trPr>
          <w:trHeight w:val="20"/>
        </w:trPr>
        <w:tc>
          <w:tcPr>
            <w:tcW w:w="970" w:type="pct"/>
          </w:tcPr>
          <w:p w:rsidR="000F1F6F" w:rsidRPr="00C00360" w:rsidRDefault="0047324C" w:rsidP="004A69D3">
            <w:pPr>
              <w:pStyle w:val="TableParagraph"/>
              <w:spacing w:line="360" w:lineRule="auto"/>
              <w:ind w:left="0"/>
              <w:jc w:val="center"/>
              <w:rPr>
                <w:rFonts w:asciiTheme="minorBidi" w:hAnsiTheme="minorBidi" w:cstheme="minorBidi"/>
                <w:b/>
                <w:sz w:val="28"/>
                <w:szCs w:val="28"/>
              </w:rPr>
            </w:pPr>
            <w:r w:rsidRPr="00C00360">
              <w:rPr>
                <w:rFonts w:asciiTheme="minorBidi" w:hAnsiTheme="minorBidi" w:cstheme="minorBidi"/>
                <w:b/>
                <w:spacing w:val="-5"/>
                <w:sz w:val="28"/>
                <w:szCs w:val="28"/>
              </w:rPr>
              <w:t>2</w:t>
            </w:r>
          </w:p>
        </w:tc>
        <w:tc>
          <w:tcPr>
            <w:tcW w:w="3158" w:type="pct"/>
          </w:tcPr>
          <w:p w:rsidR="000F1F6F" w:rsidRPr="00C00360" w:rsidRDefault="0047324C" w:rsidP="004A69D3">
            <w:pPr>
              <w:pStyle w:val="TableParagraph"/>
              <w:spacing w:line="360" w:lineRule="auto"/>
              <w:ind w:left="0"/>
              <w:rPr>
                <w:rFonts w:asciiTheme="minorBidi" w:hAnsiTheme="minorBidi" w:cstheme="minorBidi"/>
                <w:sz w:val="28"/>
                <w:szCs w:val="28"/>
              </w:rPr>
            </w:pPr>
            <w:r w:rsidRPr="00C00360">
              <w:rPr>
                <w:rFonts w:asciiTheme="minorBidi" w:hAnsiTheme="minorBidi" w:cstheme="minorBidi"/>
                <w:sz w:val="28"/>
                <w:szCs w:val="28"/>
              </w:rPr>
              <w:t>A summary of the etiological factors contributing to DH</w:t>
            </w:r>
          </w:p>
        </w:tc>
        <w:tc>
          <w:tcPr>
            <w:tcW w:w="872" w:type="pct"/>
          </w:tcPr>
          <w:p w:rsidR="000F1F6F" w:rsidRPr="00C00360" w:rsidRDefault="00C61B45" w:rsidP="004A69D3">
            <w:pPr>
              <w:pStyle w:val="TableParagraph"/>
              <w:spacing w:line="360" w:lineRule="auto"/>
              <w:ind w:left="0"/>
              <w:jc w:val="center"/>
              <w:rPr>
                <w:rFonts w:asciiTheme="minorBidi" w:hAnsiTheme="minorBidi" w:cstheme="minorBidi"/>
                <w:sz w:val="28"/>
                <w:szCs w:val="28"/>
              </w:rPr>
            </w:pPr>
            <w:r w:rsidRPr="00C00360">
              <w:rPr>
                <w:rFonts w:asciiTheme="minorBidi" w:hAnsiTheme="minorBidi" w:cstheme="minorBidi"/>
                <w:sz w:val="28"/>
                <w:szCs w:val="28"/>
              </w:rPr>
              <w:t>6</w:t>
            </w:r>
          </w:p>
        </w:tc>
      </w:tr>
      <w:tr w:rsidR="000F1F6F" w:rsidRPr="00C00360" w:rsidTr="00BE5828">
        <w:trPr>
          <w:cnfStyle w:val="000000100000" w:firstRow="0" w:lastRow="0" w:firstColumn="0" w:lastColumn="0" w:oddVBand="0" w:evenVBand="0" w:oddHBand="1" w:evenHBand="0" w:firstRowFirstColumn="0" w:firstRowLastColumn="0" w:lastRowFirstColumn="0" w:lastRowLastColumn="0"/>
          <w:trHeight w:val="20"/>
        </w:trPr>
        <w:tc>
          <w:tcPr>
            <w:tcW w:w="970" w:type="pct"/>
          </w:tcPr>
          <w:p w:rsidR="000F1F6F" w:rsidRPr="00C00360" w:rsidRDefault="00813BA9" w:rsidP="004A69D3">
            <w:pPr>
              <w:pStyle w:val="TableParagraph"/>
              <w:spacing w:line="360" w:lineRule="auto"/>
              <w:ind w:left="0"/>
              <w:jc w:val="center"/>
              <w:rPr>
                <w:rFonts w:asciiTheme="minorBidi" w:hAnsiTheme="minorBidi" w:cstheme="minorBidi"/>
                <w:b/>
                <w:sz w:val="28"/>
                <w:szCs w:val="28"/>
              </w:rPr>
            </w:pPr>
            <w:r w:rsidRPr="00C00360">
              <w:rPr>
                <w:rFonts w:asciiTheme="minorBidi" w:hAnsiTheme="minorBidi" w:cstheme="minorBidi"/>
                <w:b/>
                <w:spacing w:val="-5"/>
                <w:sz w:val="28"/>
                <w:szCs w:val="28"/>
              </w:rPr>
              <w:t>3</w:t>
            </w:r>
          </w:p>
        </w:tc>
        <w:tc>
          <w:tcPr>
            <w:tcW w:w="3158" w:type="pct"/>
          </w:tcPr>
          <w:p w:rsidR="000F1F6F" w:rsidRPr="00C00360" w:rsidRDefault="00813BA9" w:rsidP="004A69D3">
            <w:pPr>
              <w:pStyle w:val="TableParagraph"/>
              <w:spacing w:line="360" w:lineRule="auto"/>
              <w:ind w:left="0"/>
              <w:rPr>
                <w:rFonts w:asciiTheme="minorBidi" w:hAnsiTheme="minorBidi" w:cstheme="minorBidi"/>
                <w:sz w:val="28"/>
                <w:szCs w:val="28"/>
              </w:rPr>
            </w:pPr>
            <w:r w:rsidRPr="00C00360">
              <w:rPr>
                <w:rFonts w:asciiTheme="minorBidi" w:hAnsiTheme="minorBidi" w:cstheme="minorBidi"/>
                <w:sz w:val="28"/>
                <w:szCs w:val="28"/>
              </w:rPr>
              <w:t>strategies for managements of dentin hypersensitivity (DHS)</w:t>
            </w:r>
          </w:p>
        </w:tc>
        <w:tc>
          <w:tcPr>
            <w:tcW w:w="872" w:type="pct"/>
          </w:tcPr>
          <w:p w:rsidR="000F1F6F" w:rsidRPr="00C00360" w:rsidRDefault="00C61B45" w:rsidP="004A69D3">
            <w:pPr>
              <w:pStyle w:val="TableParagraph"/>
              <w:spacing w:line="360" w:lineRule="auto"/>
              <w:ind w:left="0"/>
              <w:jc w:val="center"/>
              <w:rPr>
                <w:rFonts w:asciiTheme="minorBidi" w:hAnsiTheme="minorBidi" w:cstheme="minorBidi"/>
                <w:sz w:val="28"/>
                <w:szCs w:val="28"/>
              </w:rPr>
            </w:pPr>
            <w:r w:rsidRPr="00C00360">
              <w:rPr>
                <w:rFonts w:asciiTheme="minorBidi" w:hAnsiTheme="minorBidi" w:cstheme="minorBidi"/>
                <w:sz w:val="28"/>
                <w:szCs w:val="28"/>
              </w:rPr>
              <w:t>7</w:t>
            </w:r>
          </w:p>
        </w:tc>
      </w:tr>
      <w:tr w:rsidR="000F1F6F" w:rsidRPr="00C00360" w:rsidTr="00BE5828">
        <w:trPr>
          <w:trHeight w:val="20"/>
        </w:trPr>
        <w:tc>
          <w:tcPr>
            <w:tcW w:w="970" w:type="pct"/>
          </w:tcPr>
          <w:p w:rsidR="000F1F6F" w:rsidRPr="00C00360" w:rsidRDefault="00813BA9" w:rsidP="004A69D3">
            <w:pPr>
              <w:pStyle w:val="TableParagraph"/>
              <w:spacing w:line="360" w:lineRule="auto"/>
              <w:ind w:left="0"/>
              <w:jc w:val="center"/>
              <w:rPr>
                <w:rFonts w:asciiTheme="minorBidi" w:hAnsiTheme="minorBidi" w:cstheme="minorBidi"/>
                <w:b/>
                <w:spacing w:val="-5"/>
                <w:sz w:val="28"/>
                <w:szCs w:val="28"/>
              </w:rPr>
            </w:pPr>
            <w:r w:rsidRPr="00C00360">
              <w:rPr>
                <w:rFonts w:asciiTheme="minorBidi" w:hAnsiTheme="minorBidi" w:cstheme="minorBidi"/>
                <w:b/>
                <w:spacing w:val="-5"/>
                <w:sz w:val="28"/>
                <w:szCs w:val="28"/>
              </w:rPr>
              <w:t>4</w:t>
            </w:r>
          </w:p>
        </w:tc>
        <w:tc>
          <w:tcPr>
            <w:tcW w:w="3158" w:type="pct"/>
          </w:tcPr>
          <w:p w:rsidR="000F1F6F" w:rsidRPr="00C00360" w:rsidRDefault="00813BA9" w:rsidP="004A69D3">
            <w:pPr>
              <w:pStyle w:val="TableParagraph"/>
              <w:spacing w:line="360" w:lineRule="auto"/>
              <w:ind w:left="0"/>
              <w:rPr>
                <w:rFonts w:asciiTheme="minorBidi" w:hAnsiTheme="minorBidi" w:cstheme="minorBidi"/>
                <w:sz w:val="28"/>
                <w:szCs w:val="28"/>
              </w:rPr>
            </w:pPr>
            <w:r w:rsidRPr="00C00360">
              <w:rPr>
                <w:rFonts w:asciiTheme="minorBidi" w:hAnsiTheme="minorBidi" w:cstheme="minorBidi"/>
                <w:sz w:val="28"/>
                <w:szCs w:val="28"/>
              </w:rPr>
              <w:t>Prevention procedures for dentin hypersensitivity</w:t>
            </w:r>
          </w:p>
        </w:tc>
        <w:tc>
          <w:tcPr>
            <w:tcW w:w="872" w:type="pct"/>
          </w:tcPr>
          <w:p w:rsidR="000F1F6F" w:rsidRPr="00C00360" w:rsidRDefault="00C61B45" w:rsidP="004A69D3">
            <w:pPr>
              <w:pStyle w:val="TableParagraph"/>
              <w:spacing w:line="360" w:lineRule="auto"/>
              <w:ind w:left="0"/>
              <w:jc w:val="center"/>
              <w:rPr>
                <w:rFonts w:asciiTheme="minorBidi" w:hAnsiTheme="minorBidi" w:cstheme="minorBidi"/>
                <w:spacing w:val="-5"/>
                <w:sz w:val="28"/>
                <w:szCs w:val="28"/>
              </w:rPr>
            </w:pPr>
            <w:r w:rsidRPr="00C00360">
              <w:rPr>
                <w:rFonts w:asciiTheme="minorBidi" w:hAnsiTheme="minorBidi" w:cstheme="minorBidi"/>
                <w:spacing w:val="-5"/>
                <w:sz w:val="28"/>
                <w:szCs w:val="28"/>
              </w:rPr>
              <w:t>9</w:t>
            </w:r>
          </w:p>
        </w:tc>
      </w:tr>
      <w:tr w:rsidR="000F1F6F" w:rsidRPr="00C00360" w:rsidTr="00BE5828">
        <w:trPr>
          <w:cnfStyle w:val="000000100000" w:firstRow="0" w:lastRow="0" w:firstColumn="0" w:lastColumn="0" w:oddVBand="0" w:evenVBand="0" w:oddHBand="1" w:evenHBand="0" w:firstRowFirstColumn="0" w:firstRowLastColumn="0" w:lastRowFirstColumn="0" w:lastRowLastColumn="0"/>
          <w:trHeight w:val="20"/>
        </w:trPr>
        <w:tc>
          <w:tcPr>
            <w:tcW w:w="970" w:type="pct"/>
          </w:tcPr>
          <w:p w:rsidR="000F1F6F" w:rsidRPr="00C00360" w:rsidRDefault="00813BA9" w:rsidP="004A69D3">
            <w:pPr>
              <w:pStyle w:val="TableParagraph"/>
              <w:spacing w:line="360" w:lineRule="auto"/>
              <w:ind w:left="0"/>
              <w:jc w:val="center"/>
              <w:rPr>
                <w:rFonts w:asciiTheme="minorBidi" w:hAnsiTheme="minorBidi" w:cstheme="minorBidi"/>
                <w:b/>
                <w:spacing w:val="-5"/>
                <w:sz w:val="28"/>
                <w:szCs w:val="28"/>
              </w:rPr>
            </w:pPr>
            <w:r w:rsidRPr="00C00360">
              <w:rPr>
                <w:rFonts w:asciiTheme="minorBidi" w:hAnsiTheme="minorBidi" w:cstheme="minorBidi"/>
                <w:b/>
                <w:spacing w:val="-5"/>
                <w:sz w:val="28"/>
                <w:szCs w:val="28"/>
              </w:rPr>
              <w:t>5</w:t>
            </w:r>
          </w:p>
        </w:tc>
        <w:tc>
          <w:tcPr>
            <w:tcW w:w="3158" w:type="pct"/>
          </w:tcPr>
          <w:p w:rsidR="000F1F6F" w:rsidRPr="00C00360" w:rsidRDefault="00813BA9" w:rsidP="004A69D3">
            <w:pPr>
              <w:pStyle w:val="TableParagraph"/>
              <w:spacing w:line="360" w:lineRule="auto"/>
              <w:ind w:left="0"/>
              <w:rPr>
                <w:rFonts w:asciiTheme="minorBidi" w:hAnsiTheme="minorBidi" w:cstheme="minorBidi"/>
                <w:sz w:val="28"/>
                <w:szCs w:val="28"/>
              </w:rPr>
            </w:pPr>
            <w:r w:rsidRPr="00C00360">
              <w:rPr>
                <w:rFonts w:asciiTheme="minorBidi" w:hAnsiTheme="minorBidi" w:cstheme="minorBidi"/>
                <w:sz w:val="28"/>
                <w:szCs w:val="28"/>
              </w:rPr>
              <w:t>Treatment materials &amp; techniques</w:t>
            </w:r>
          </w:p>
        </w:tc>
        <w:tc>
          <w:tcPr>
            <w:tcW w:w="872" w:type="pct"/>
          </w:tcPr>
          <w:p w:rsidR="000F1F6F" w:rsidRPr="00C00360" w:rsidRDefault="000F1F6F" w:rsidP="00813BA9">
            <w:pPr>
              <w:pStyle w:val="TableParagraph"/>
              <w:spacing w:line="360" w:lineRule="auto"/>
              <w:ind w:left="0"/>
              <w:jc w:val="center"/>
              <w:rPr>
                <w:rFonts w:asciiTheme="minorBidi" w:hAnsiTheme="minorBidi" w:cstheme="minorBidi"/>
                <w:spacing w:val="-5"/>
                <w:sz w:val="28"/>
                <w:szCs w:val="28"/>
              </w:rPr>
            </w:pPr>
            <w:r w:rsidRPr="00C00360">
              <w:rPr>
                <w:rFonts w:asciiTheme="minorBidi" w:hAnsiTheme="minorBidi" w:cstheme="minorBidi"/>
                <w:spacing w:val="-5"/>
                <w:sz w:val="28"/>
                <w:szCs w:val="28"/>
              </w:rPr>
              <w:t>1</w:t>
            </w:r>
            <w:r w:rsidR="00C61B45" w:rsidRPr="00C00360">
              <w:rPr>
                <w:rFonts w:asciiTheme="minorBidi" w:hAnsiTheme="minorBidi" w:cstheme="minorBidi"/>
                <w:spacing w:val="-5"/>
                <w:sz w:val="28"/>
                <w:szCs w:val="28"/>
              </w:rPr>
              <w:t>1</w:t>
            </w:r>
          </w:p>
        </w:tc>
      </w:tr>
    </w:tbl>
    <w:p w:rsidR="00155CC0" w:rsidRDefault="00155CC0" w:rsidP="009C705D">
      <w:pPr>
        <w:pStyle w:val="Heading1"/>
        <w:spacing w:before="0" w:after="120"/>
        <w:rPr>
          <w:lang w:bidi="ar-IQ"/>
        </w:rPr>
        <w:sectPr w:rsidR="00155CC0" w:rsidSect="000F1F6F">
          <w:pgSz w:w="12240" w:h="15840"/>
          <w:pgMar w:top="1440" w:right="1440" w:bottom="1440" w:left="1440" w:header="720" w:footer="720" w:gutter="0"/>
          <w:cols w:space="720"/>
          <w:docGrid w:linePitch="360"/>
        </w:sectPr>
      </w:pPr>
    </w:p>
    <w:p w:rsidR="00DE086C" w:rsidRDefault="00DE086C" w:rsidP="009C705D">
      <w:pPr>
        <w:pStyle w:val="Heading1"/>
        <w:spacing w:before="0" w:after="120"/>
        <w:rPr>
          <w:lang w:bidi="ar-IQ"/>
        </w:rPr>
      </w:pPr>
      <w:r w:rsidRPr="00DE086C">
        <w:rPr>
          <w:lang w:bidi="ar-IQ"/>
        </w:rPr>
        <w:lastRenderedPageBreak/>
        <w:t xml:space="preserve">Introduction: </w:t>
      </w:r>
    </w:p>
    <w:p w:rsidR="0059783A" w:rsidRDefault="00AF05ED" w:rsidP="0059783A">
      <w:pPr>
        <w:rPr>
          <w:szCs w:val="28"/>
        </w:rPr>
      </w:pPr>
      <w:r>
        <w:rPr>
          <w:szCs w:val="28"/>
        </w:rPr>
        <w:t xml:space="preserve">       </w:t>
      </w:r>
      <w:r w:rsidR="00FB36FA" w:rsidRPr="00FB36FA">
        <w:rPr>
          <w:szCs w:val="28"/>
        </w:rPr>
        <w:t>Dentin hypersensitivity is often defined as the pain arising from chemical, tactile, thermal, osmotic or evaporative stimulus whereby the dentin surface is exposed to the oral environment</w:t>
      </w:r>
      <w:r w:rsidR="00FB36FA">
        <w:rPr>
          <w:szCs w:val="28"/>
        </w:rPr>
        <w:t xml:space="preserve"> </w:t>
      </w:r>
      <w:r w:rsidR="009C705D">
        <w:rPr>
          <w:b/>
          <w:bCs/>
          <w:szCs w:val="28"/>
        </w:rPr>
        <w:t>(Dababneh et al.,</w:t>
      </w:r>
      <w:r w:rsidR="00FB36FA" w:rsidRPr="00FB36FA">
        <w:rPr>
          <w:b/>
          <w:bCs/>
          <w:szCs w:val="28"/>
        </w:rPr>
        <w:t xml:space="preserve"> 1999</w:t>
      </w:r>
      <w:r w:rsidR="009C705D" w:rsidRPr="00FB36FA">
        <w:rPr>
          <w:b/>
          <w:bCs/>
          <w:szCs w:val="28"/>
        </w:rPr>
        <w:t>)</w:t>
      </w:r>
      <w:r w:rsidR="009C705D" w:rsidRPr="009C705D">
        <w:rPr>
          <w:szCs w:val="28"/>
        </w:rPr>
        <w:t>.</w:t>
      </w:r>
      <w:r w:rsidR="009C705D">
        <w:rPr>
          <w:b/>
          <w:bCs/>
          <w:szCs w:val="28"/>
        </w:rPr>
        <w:t xml:space="preserve"> </w:t>
      </w:r>
      <w:r w:rsidR="00FB36FA" w:rsidRPr="00FB36FA">
        <w:rPr>
          <w:szCs w:val="28"/>
        </w:rPr>
        <w:t>There are many reasons for dentin involvement in the oral cavity, such as attrition, abrasion and erosion, cervical caries, gingival recession and excessive brushing</w:t>
      </w:r>
      <w:r w:rsidR="00FB36FA" w:rsidRPr="00FB36FA">
        <w:rPr>
          <w:b/>
          <w:bCs/>
          <w:szCs w:val="28"/>
        </w:rPr>
        <w:t xml:space="preserve"> (Bartold</w:t>
      </w:r>
      <w:r w:rsidR="009C705D">
        <w:rPr>
          <w:b/>
          <w:bCs/>
          <w:szCs w:val="28"/>
        </w:rPr>
        <w:t>,</w:t>
      </w:r>
      <w:r w:rsidR="00FB36FA" w:rsidRPr="00FB36FA">
        <w:rPr>
          <w:b/>
          <w:bCs/>
          <w:szCs w:val="28"/>
        </w:rPr>
        <w:t xml:space="preserve"> </w:t>
      </w:r>
      <w:r w:rsidR="009C705D" w:rsidRPr="00FB36FA">
        <w:rPr>
          <w:b/>
          <w:bCs/>
          <w:szCs w:val="28"/>
        </w:rPr>
        <w:t>2006)</w:t>
      </w:r>
      <w:r w:rsidR="009C705D">
        <w:rPr>
          <w:szCs w:val="28"/>
        </w:rPr>
        <w:t>.</w:t>
      </w:r>
      <w:r w:rsidR="00FB36FA">
        <w:rPr>
          <w:b/>
          <w:bCs/>
          <w:szCs w:val="28"/>
        </w:rPr>
        <w:t xml:space="preserve"> </w:t>
      </w:r>
      <w:r w:rsidR="00FB36FA" w:rsidRPr="00FB36FA">
        <w:rPr>
          <w:szCs w:val="28"/>
        </w:rPr>
        <w:t xml:space="preserve">There have been many theories about the mode of neural transmission within the dentinal tubule but the most widely accepted mechanism is the hydrodynamic </w:t>
      </w:r>
      <w:r w:rsidR="009C705D" w:rsidRPr="00FB36FA">
        <w:rPr>
          <w:szCs w:val="28"/>
        </w:rPr>
        <w:t>theory</w:t>
      </w:r>
      <w:r w:rsidR="009C705D">
        <w:rPr>
          <w:szCs w:val="28"/>
        </w:rPr>
        <w:t xml:space="preserve">. </w:t>
      </w:r>
      <w:r w:rsidR="00FB36FA" w:rsidRPr="00FB36FA">
        <w:rPr>
          <w:szCs w:val="28"/>
        </w:rPr>
        <w:t>This theory was first introduced by John Neill in 1838, resurfaced by Alfred Gysi in 1900 and more recently by Martin Brännström in 1963. According to Brännström the disruption of dentinal fluid within patent and exposed tubules can stimulate the nerve plexus in the pulp</w:t>
      </w:r>
      <w:r w:rsidR="00FB36FA">
        <w:rPr>
          <w:szCs w:val="28"/>
        </w:rPr>
        <w:t xml:space="preserve"> </w:t>
      </w:r>
      <w:r w:rsidR="00FB36FA" w:rsidRPr="00FB36FA">
        <w:rPr>
          <w:b/>
          <w:bCs/>
          <w:szCs w:val="28"/>
        </w:rPr>
        <w:t>(Brännström, 1963)</w:t>
      </w:r>
      <w:r w:rsidR="009C705D">
        <w:rPr>
          <w:szCs w:val="28"/>
        </w:rPr>
        <w:t>.</w:t>
      </w:r>
      <w:r w:rsidR="00FB36FA" w:rsidRPr="00FB36FA">
        <w:rPr>
          <w:b/>
          <w:bCs/>
          <w:szCs w:val="28"/>
        </w:rPr>
        <w:t xml:space="preserve"> </w:t>
      </w:r>
      <w:r w:rsidR="00FB36FA" w:rsidRPr="00FB36FA">
        <w:rPr>
          <w:szCs w:val="28"/>
        </w:rPr>
        <w:t>Dentin hypersensitivity is usually encountered among people aged 20</w:t>
      </w:r>
      <w:r w:rsidR="009C705D">
        <w:rPr>
          <w:szCs w:val="28"/>
        </w:rPr>
        <w:t>-</w:t>
      </w:r>
      <w:r w:rsidR="00FB36FA" w:rsidRPr="00FB36FA">
        <w:rPr>
          <w:szCs w:val="28"/>
        </w:rPr>
        <w:t>50</w:t>
      </w:r>
      <w:r w:rsidR="00CF75FC">
        <w:rPr>
          <w:szCs w:val="28"/>
        </w:rPr>
        <w:t xml:space="preserve"> yrs.</w:t>
      </w:r>
      <w:r w:rsidR="00FB36FA" w:rsidRPr="00FB36FA">
        <w:rPr>
          <w:szCs w:val="28"/>
        </w:rPr>
        <w:t xml:space="preserve"> </w:t>
      </w:r>
      <w:r w:rsidR="00FB36FA" w:rsidRPr="00FB36FA">
        <w:rPr>
          <w:b/>
          <w:bCs/>
          <w:szCs w:val="28"/>
        </w:rPr>
        <w:t xml:space="preserve">(Miglani </w:t>
      </w:r>
      <w:r w:rsidR="009C705D">
        <w:rPr>
          <w:b/>
          <w:bCs/>
          <w:szCs w:val="28"/>
        </w:rPr>
        <w:t>et al.</w:t>
      </w:r>
      <w:r w:rsidR="00FB36FA" w:rsidRPr="00FB36FA">
        <w:rPr>
          <w:b/>
          <w:bCs/>
          <w:szCs w:val="28"/>
        </w:rPr>
        <w:t xml:space="preserve">, </w:t>
      </w:r>
      <w:r w:rsidR="00CF75FC" w:rsidRPr="00FB36FA">
        <w:rPr>
          <w:b/>
          <w:bCs/>
          <w:szCs w:val="28"/>
        </w:rPr>
        <w:t>2010)</w:t>
      </w:r>
      <w:r w:rsidR="00CF75FC" w:rsidRPr="00EE486D">
        <w:rPr>
          <w:b/>
          <w:bCs/>
          <w:szCs w:val="28"/>
        </w:rPr>
        <w:t xml:space="preserve">. </w:t>
      </w:r>
      <w:r w:rsidR="00FB36FA" w:rsidRPr="00EE486D">
        <w:rPr>
          <w:szCs w:val="28"/>
        </w:rPr>
        <w:t>The older population rarely encounters hypersensitivity problems</w:t>
      </w:r>
      <w:r w:rsidR="009C705D">
        <w:rPr>
          <w:szCs w:val="28"/>
        </w:rPr>
        <w:t xml:space="preserve">, </w:t>
      </w:r>
      <w:r w:rsidR="00FB36FA" w:rsidRPr="00EE486D">
        <w:rPr>
          <w:szCs w:val="28"/>
        </w:rPr>
        <w:t xml:space="preserve">this can be ascribed to the reparative properties of dentine, fibrosis within the pulp and sclerosis of the tubules </w:t>
      </w:r>
      <w:r w:rsidR="00FB36FA" w:rsidRPr="00EE486D">
        <w:rPr>
          <w:b/>
          <w:bCs/>
          <w:szCs w:val="28"/>
        </w:rPr>
        <w:t xml:space="preserve">(West, </w:t>
      </w:r>
      <w:r w:rsidR="00CF75FC" w:rsidRPr="00EE486D">
        <w:rPr>
          <w:b/>
          <w:bCs/>
          <w:szCs w:val="28"/>
        </w:rPr>
        <w:t>2000)</w:t>
      </w:r>
      <w:r w:rsidR="009C705D">
        <w:rPr>
          <w:szCs w:val="28"/>
        </w:rPr>
        <w:t>.</w:t>
      </w:r>
      <w:r w:rsidR="00EE486D">
        <w:rPr>
          <w:b/>
          <w:bCs/>
          <w:szCs w:val="28"/>
        </w:rPr>
        <w:t xml:space="preserve"> </w:t>
      </w:r>
      <w:r w:rsidR="00EE486D" w:rsidRPr="00EE486D">
        <w:rPr>
          <w:szCs w:val="28"/>
        </w:rPr>
        <w:t>Some studies conclude that DH occurs more in females than males</w:t>
      </w:r>
      <w:r w:rsidR="00EE486D">
        <w:rPr>
          <w:szCs w:val="28"/>
        </w:rPr>
        <w:t xml:space="preserve"> </w:t>
      </w:r>
      <w:r w:rsidR="00EE486D" w:rsidRPr="00703AF8">
        <w:rPr>
          <w:b/>
          <w:bCs/>
          <w:szCs w:val="28"/>
        </w:rPr>
        <w:t>(Cunha-Cruz et al</w:t>
      </w:r>
      <w:r w:rsidR="00CF75FC">
        <w:rPr>
          <w:b/>
          <w:bCs/>
          <w:szCs w:val="28"/>
        </w:rPr>
        <w:t>.</w:t>
      </w:r>
      <w:r w:rsidR="00CF75FC" w:rsidRPr="00703AF8">
        <w:rPr>
          <w:b/>
          <w:bCs/>
          <w:szCs w:val="28"/>
        </w:rPr>
        <w:t>, 2013</w:t>
      </w:r>
      <w:r w:rsidR="00EE486D" w:rsidRPr="00703AF8">
        <w:rPr>
          <w:b/>
          <w:bCs/>
          <w:szCs w:val="28"/>
        </w:rPr>
        <w:t>)</w:t>
      </w:r>
      <w:r w:rsidR="00EE486D">
        <w:rPr>
          <w:szCs w:val="28"/>
        </w:rPr>
        <w:t xml:space="preserve"> </w:t>
      </w:r>
      <w:r w:rsidR="00EE486D" w:rsidRPr="00EE486D">
        <w:rPr>
          <w:szCs w:val="28"/>
        </w:rPr>
        <w:t xml:space="preserve">and </w:t>
      </w:r>
      <w:r w:rsidR="00CF75FC">
        <w:rPr>
          <w:szCs w:val="28"/>
        </w:rPr>
        <w:t>other</w:t>
      </w:r>
      <w:r w:rsidR="00EE486D" w:rsidRPr="00EE486D">
        <w:rPr>
          <w:szCs w:val="28"/>
        </w:rPr>
        <w:t xml:space="preserve"> studies show</w:t>
      </w:r>
      <w:r w:rsidR="00CF75FC">
        <w:rPr>
          <w:szCs w:val="28"/>
        </w:rPr>
        <w:t>ed</w:t>
      </w:r>
      <w:r w:rsidR="00EE486D" w:rsidRPr="00EE486D">
        <w:rPr>
          <w:szCs w:val="28"/>
        </w:rPr>
        <w:t xml:space="preserve"> cold stimulus is the most common stimulus that caused DH</w:t>
      </w:r>
      <w:r w:rsidR="00EE486D">
        <w:rPr>
          <w:szCs w:val="28"/>
        </w:rPr>
        <w:t xml:space="preserve"> </w:t>
      </w:r>
      <w:r w:rsidR="00EE486D" w:rsidRPr="00703AF8">
        <w:rPr>
          <w:b/>
          <w:bCs/>
          <w:szCs w:val="28"/>
        </w:rPr>
        <w:t>(Chabanski, et al</w:t>
      </w:r>
      <w:r w:rsidR="00CF75FC">
        <w:rPr>
          <w:b/>
          <w:bCs/>
          <w:szCs w:val="28"/>
        </w:rPr>
        <w:t>.</w:t>
      </w:r>
      <w:r w:rsidR="00EE486D" w:rsidRPr="00703AF8">
        <w:rPr>
          <w:b/>
          <w:bCs/>
          <w:szCs w:val="28"/>
        </w:rPr>
        <w:t>, 1996)</w:t>
      </w:r>
      <w:r w:rsidR="00CF75FC" w:rsidRPr="00CF75FC">
        <w:rPr>
          <w:szCs w:val="28"/>
        </w:rPr>
        <w:t>.</w:t>
      </w:r>
      <w:r w:rsidR="00EE486D">
        <w:rPr>
          <w:szCs w:val="28"/>
        </w:rPr>
        <w:t xml:space="preserve"> </w:t>
      </w:r>
      <w:r w:rsidR="00EE486D" w:rsidRPr="00EE486D">
        <w:rPr>
          <w:szCs w:val="28"/>
        </w:rPr>
        <w:t>Teeth that were most affected by DH were premolars and molars</w:t>
      </w:r>
      <w:r w:rsidR="00EE486D">
        <w:rPr>
          <w:szCs w:val="28"/>
        </w:rPr>
        <w:t xml:space="preserve"> </w:t>
      </w:r>
      <w:r w:rsidR="00EE486D" w:rsidRPr="00703AF8">
        <w:rPr>
          <w:b/>
          <w:bCs/>
          <w:szCs w:val="28"/>
        </w:rPr>
        <w:t>(Wang, et al</w:t>
      </w:r>
      <w:r w:rsidR="00CF75FC">
        <w:rPr>
          <w:b/>
          <w:bCs/>
          <w:szCs w:val="28"/>
        </w:rPr>
        <w:t>.</w:t>
      </w:r>
      <w:r w:rsidR="00CF75FC" w:rsidRPr="00703AF8">
        <w:rPr>
          <w:b/>
          <w:bCs/>
          <w:szCs w:val="28"/>
        </w:rPr>
        <w:t>,</w:t>
      </w:r>
      <w:r w:rsidR="00EE486D" w:rsidRPr="00703AF8">
        <w:rPr>
          <w:b/>
          <w:bCs/>
          <w:szCs w:val="28"/>
        </w:rPr>
        <w:t xml:space="preserve"> 2012</w:t>
      </w:r>
      <w:r w:rsidR="00EE486D">
        <w:rPr>
          <w:szCs w:val="28"/>
        </w:rPr>
        <w:t>)</w:t>
      </w:r>
      <w:r w:rsidR="00CF75FC">
        <w:rPr>
          <w:szCs w:val="28"/>
        </w:rPr>
        <w:t>.</w:t>
      </w:r>
      <w:r w:rsidR="00EE486D">
        <w:rPr>
          <w:szCs w:val="28"/>
        </w:rPr>
        <w:t xml:space="preserve"> </w:t>
      </w:r>
      <w:r w:rsidR="00EE486D" w:rsidRPr="00EE486D">
        <w:rPr>
          <w:szCs w:val="28"/>
        </w:rPr>
        <w:t>One systematic review, however, reported that premolars and incisors were mostly like affected by DH</w:t>
      </w:r>
      <w:r w:rsidR="00EE486D">
        <w:rPr>
          <w:szCs w:val="28"/>
        </w:rPr>
        <w:t xml:space="preserve"> </w:t>
      </w:r>
      <w:r w:rsidR="00EE486D" w:rsidRPr="00703AF8">
        <w:rPr>
          <w:b/>
          <w:bCs/>
          <w:szCs w:val="28"/>
        </w:rPr>
        <w:t xml:space="preserve">(Shiau, </w:t>
      </w:r>
      <w:r w:rsidR="00CF75FC" w:rsidRPr="00703AF8">
        <w:rPr>
          <w:b/>
          <w:bCs/>
          <w:szCs w:val="28"/>
        </w:rPr>
        <w:t>H.J,</w:t>
      </w:r>
      <w:r w:rsidR="00EE486D" w:rsidRPr="00703AF8">
        <w:rPr>
          <w:b/>
          <w:bCs/>
          <w:szCs w:val="28"/>
        </w:rPr>
        <w:t xml:space="preserve"> 2012)</w:t>
      </w:r>
      <w:r w:rsidR="00CF75FC">
        <w:rPr>
          <w:szCs w:val="28"/>
        </w:rPr>
        <w:t>.</w:t>
      </w:r>
      <w:r w:rsidR="00703AF8" w:rsidRPr="00703AF8">
        <w:rPr>
          <w:b/>
          <w:bCs/>
          <w:szCs w:val="28"/>
        </w:rPr>
        <w:t xml:space="preserve"> </w:t>
      </w:r>
      <w:r w:rsidR="00703AF8" w:rsidRPr="00703AF8">
        <w:rPr>
          <w:szCs w:val="28"/>
        </w:rPr>
        <w:t>In terms of age, many studies conceded that DH occurs most frequently between the third and fourth decade and gradually declines thereafter</w:t>
      </w:r>
      <w:r w:rsidR="00703AF8">
        <w:rPr>
          <w:szCs w:val="28"/>
        </w:rPr>
        <w:t xml:space="preserve"> </w:t>
      </w:r>
      <w:r w:rsidR="00703AF8" w:rsidRPr="00703AF8">
        <w:rPr>
          <w:b/>
          <w:bCs/>
          <w:szCs w:val="28"/>
        </w:rPr>
        <w:t>(Rees and Addy</w:t>
      </w:r>
      <w:r w:rsidR="00CF75FC">
        <w:rPr>
          <w:b/>
          <w:bCs/>
          <w:szCs w:val="28"/>
        </w:rPr>
        <w:t>,</w:t>
      </w:r>
      <w:r w:rsidR="00703AF8" w:rsidRPr="00703AF8">
        <w:rPr>
          <w:b/>
          <w:bCs/>
          <w:szCs w:val="28"/>
        </w:rPr>
        <w:t xml:space="preserve"> 2004)</w:t>
      </w:r>
      <w:r w:rsidR="00CF75FC">
        <w:rPr>
          <w:szCs w:val="28"/>
        </w:rPr>
        <w:t>.</w:t>
      </w:r>
      <w:r w:rsidR="0059783A">
        <w:rPr>
          <w:szCs w:val="28"/>
        </w:rPr>
        <w:t xml:space="preserve"> </w:t>
      </w:r>
      <w:r w:rsidR="0059783A" w:rsidRPr="0059783A">
        <w:rPr>
          <w:szCs w:val="28"/>
        </w:rPr>
        <w:t xml:space="preserve">Root Dentinal hypersensitivity is managed through disturbing the neural response to pain stimulus or </w:t>
      </w:r>
      <w:r w:rsidR="0059783A" w:rsidRPr="0059783A">
        <w:rPr>
          <w:szCs w:val="28"/>
        </w:rPr>
        <w:lastRenderedPageBreak/>
        <w:t xml:space="preserve">blocking fluid flow by occluding the tubule. Non-invasive measures as desensitizers, dentin adhesive sealers, laser application and ozone heal therapy proved efficacy in relieving dentinal hypersensitivity, with desensitizers being the most commonly used, probably due to ease of usage and low cost, it was applied at-home in toothpastes and mouthwashes in low concentrations and in-office as pastes at high concentrations, Furthermore, current advances as nano-technology were applied successfully with promising results, However, it require at least two weeks and the long term outcome is questionable, combinations of lasers with desensitizers and dental adhesives are suggested for optimum results. Nevertheless, when indications are met, invasive therapies including restorations as Glass ionomer cement and resin composites showed superior long-term outcome. </w:t>
      </w:r>
    </w:p>
    <w:p w:rsidR="00061F70" w:rsidRPr="00CF75FC" w:rsidRDefault="00703AF8" w:rsidP="00C00360">
      <w:pPr>
        <w:pStyle w:val="Heading1"/>
      </w:pPr>
      <w:r w:rsidRPr="00703AF8">
        <w:rPr>
          <w:bCs/>
          <w:szCs w:val="28"/>
        </w:rPr>
        <w:t xml:space="preserve"> </w:t>
      </w:r>
      <w:r w:rsidR="00AF05ED" w:rsidRPr="00CF75FC">
        <w:t xml:space="preserve">Structure of dentin: </w:t>
      </w:r>
    </w:p>
    <w:p w:rsidR="005C65F5" w:rsidRPr="00AF05ED" w:rsidRDefault="00AF05ED" w:rsidP="00036314">
      <w:pPr>
        <w:rPr>
          <w:b/>
          <w:bCs/>
          <w:szCs w:val="28"/>
        </w:rPr>
      </w:pPr>
      <w:r>
        <w:rPr>
          <w:szCs w:val="28"/>
        </w:rPr>
        <w:t xml:space="preserve">      </w:t>
      </w:r>
      <w:r w:rsidR="00061F70" w:rsidRPr="00AF05ED">
        <w:rPr>
          <w:szCs w:val="28"/>
        </w:rPr>
        <w:t>Dentin is composed of minerals made up of apatite crystallites about 70% in weight, 40-45% in volume, organic matrix 20% in weight</w:t>
      </w:r>
      <w:r w:rsidR="00164CFE" w:rsidRPr="00AF05ED">
        <w:rPr>
          <w:szCs w:val="28"/>
        </w:rPr>
        <w:t>,</w:t>
      </w:r>
      <w:r w:rsidR="00061F70" w:rsidRPr="00AF05ED">
        <w:rPr>
          <w:szCs w:val="28"/>
        </w:rPr>
        <w:t xml:space="preserve"> 30% in volume and water 10% in weight</w:t>
      </w:r>
      <w:r w:rsidR="00164CFE" w:rsidRPr="00AF05ED">
        <w:rPr>
          <w:szCs w:val="28"/>
        </w:rPr>
        <w:t>,</w:t>
      </w:r>
      <w:r w:rsidR="00061F70" w:rsidRPr="00AF05ED">
        <w:rPr>
          <w:szCs w:val="28"/>
        </w:rPr>
        <w:t xml:space="preserve"> 20-25% in volume </w:t>
      </w:r>
      <w:r w:rsidR="00061F70" w:rsidRPr="00AF05ED">
        <w:rPr>
          <w:b/>
          <w:bCs/>
          <w:szCs w:val="28"/>
        </w:rPr>
        <w:t>(Nanci, 2003)</w:t>
      </w:r>
      <w:r w:rsidR="00CF75FC" w:rsidRPr="00CF75FC">
        <w:rPr>
          <w:szCs w:val="28"/>
        </w:rPr>
        <w:t>.</w:t>
      </w:r>
      <w:r w:rsidR="00061F70" w:rsidRPr="00AF05ED">
        <w:rPr>
          <w:b/>
          <w:bCs/>
          <w:szCs w:val="28"/>
        </w:rPr>
        <w:t xml:space="preserve"> </w:t>
      </w:r>
      <w:r w:rsidRPr="00AF05ED">
        <w:rPr>
          <w:szCs w:val="28"/>
        </w:rPr>
        <w:t>It</w:t>
      </w:r>
      <w:r w:rsidR="00164CFE" w:rsidRPr="00AF05ED">
        <w:rPr>
          <w:szCs w:val="28"/>
        </w:rPr>
        <w:t xml:space="preserve"> is considered a complex hydrated structure composed from four elements: oriented tubules surrounded by a highly mineralized peritubular zone, embedded in an inter-tubular matrix consisting largely of type one collagen with embedded apatite crystals, and dentinal fluid</w:t>
      </w:r>
      <w:r w:rsidR="00164CFE" w:rsidRPr="00AF05ED">
        <w:rPr>
          <w:b/>
          <w:bCs/>
          <w:szCs w:val="28"/>
        </w:rPr>
        <w:t xml:space="preserve"> (</w:t>
      </w:r>
      <w:r w:rsidR="00343937">
        <w:rPr>
          <w:b/>
          <w:bCs/>
          <w:szCs w:val="28"/>
        </w:rPr>
        <w:tab/>
        <w:t>Bulter, 1992</w:t>
      </w:r>
      <w:r w:rsidR="004A69D3" w:rsidRPr="004A69D3">
        <w:rPr>
          <w:b/>
          <w:bCs/>
          <w:szCs w:val="28"/>
        </w:rPr>
        <w:t xml:space="preserve">). </w:t>
      </w:r>
      <w:r w:rsidR="00164CFE" w:rsidRPr="00AF05ED">
        <w:rPr>
          <w:szCs w:val="28"/>
        </w:rPr>
        <w:t xml:space="preserve">About 56% of the mineral phase is inside the collagen, which makes dentin slightly harder than the bone, yet softer than enamel. </w:t>
      </w:r>
      <w:r w:rsidR="00DE377F" w:rsidRPr="00AF05ED">
        <w:rPr>
          <w:szCs w:val="28"/>
        </w:rPr>
        <w:t>Throughout life, a layer of nonmineralized dentin, known as predentin, separates the odontoblast</w:t>
      </w:r>
      <w:r w:rsidR="00CF75FC">
        <w:rPr>
          <w:szCs w:val="28"/>
        </w:rPr>
        <w:t xml:space="preserve">s from the mineralized regions. </w:t>
      </w:r>
      <w:r w:rsidR="00036314">
        <w:rPr>
          <w:szCs w:val="28"/>
        </w:rPr>
        <w:t>P</w:t>
      </w:r>
      <w:r w:rsidR="00DE377F" w:rsidRPr="00AF05ED">
        <w:rPr>
          <w:szCs w:val="28"/>
        </w:rPr>
        <w:t xml:space="preserve">redentin–dentin interface has an irregular-scalloped appearance. This is due to the occurrence of mineralized dentin with a spheroidal morphology. All of the dental tissues are deposited incrementally, and unlike </w:t>
      </w:r>
      <w:r w:rsidR="00DE377F" w:rsidRPr="00AF05ED">
        <w:rPr>
          <w:szCs w:val="28"/>
        </w:rPr>
        <w:lastRenderedPageBreak/>
        <w:t>bone, dent</w:t>
      </w:r>
      <w:r w:rsidR="0042350A">
        <w:rPr>
          <w:szCs w:val="28"/>
        </w:rPr>
        <w:t>al tissues are rarely remodeled</w:t>
      </w:r>
      <w:r w:rsidR="00637304">
        <w:rPr>
          <w:szCs w:val="28"/>
        </w:rPr>
        <w:t xml:space="preserve"> </w:t>
      </w:r>
      <w:r w:rsidR="00637304" w:rsidRPr="00637304">
        <w:rPr>
          <w:b/>
          <w:bCs/>
          <w:szCs w:val="28"/>
        </w:rPr>
        <w:t>(Arola et al.</w:t>
      </w:r>
      <w:r w:rsidR="00C00360" w:rsidRPr="00637304">
        <w:rPr>
          <w:b/>
          <w:bCs/>
          <w:szCs w:val="28"/>
        </w:rPr>
        <w:t>, 2009</w:t>
      </w:r>
      <w:r w:rsidR="00637304" w:rsidRPr="00637304">
        <w:rPr>
          <w:b/>
          <w:bCs/>
          <w:szCs w:val="28"/>
        </w:rPr>
        <w:t>)</w:t>
      </w:r>
      <w:r w:rsidR="00637304" w:rsidRPr="00C00360">
        <w:rPr>
          <w:szCs w:val="28"/>
        </w:rPr>
        <w:t>.</w:t>
      </w:r>
      <w:r w:rsidR="00CF75FC" w:rsidRPr="00637304">
        <w:rPr>
          <w:b/>
          <w:bCs/>
          <w:szCs w:val="28"/>
        </w:rPr>
        <w:t xml:space="preserve"> </w:t>
      </w:r>
      <w:r w:rsidR="005C65F5" w:rsidRPr="00AF05ED">
        <w:rPr>
          <w:szCs w:val="28"/>
        </w:rPr>
        <w:t xml:space="preserve">Odontoblasts produce non-collagenous proteins that play an important role in the dentin mineralization. These are present between the dentinal tubules and are assembled along the dentinal tubule walls </w:t>
      </w:r>
      <w:r w:rsidR="005C65F5" w:rsidRPr="00AF05ED">
        <w:rPr>
          <w:b/>
          <w:bCs/>
          <w:szCs w:val="28"/>
        </w:rPr>
        <w:t>(Orsini et al., 2009)</w:t>
      </w:r>
      <w:r w:rsidR="005C65F5" w:rsidRPr="00CF75FC">
        <w:rPr>
          <w:szCs w:val="28"/>
        </w:rPr>
        <w:t>.</w:t>
      </w:r>
      <w:r w:rsidR="00CF75FC">
        <w:rPr>
          <w:b/>
          <w:bCs/>
          <w:szCs w:val="28"/>
        </w:rPr>
        <w:t xml:space="preserve"> </w:t>
      </w:r>
      <w:r w:rsidR="005C65F5" w:rsidRPr="00AF05ED">
        <w:rPr>
          <w:szCs w:val="28"/>
        </w:rPr>
        <w:t>Cytoplasmic extension of odontoblast associated with nerve endings extend into dentinal tubules and making the odontoblast which resides in the pulp responsible for dent</w:t>
      </w:r>
      <w:r w:rsidR="00CF75FC">
        <w:rPr>
          <w:szCs w:val="28"/>
        </w:rPr>
        <w:t>in</w:t>
      </w:r>
      <w:r w:rsidR="00CF75FC" w:rsidRPr="00CF75FC">
        <w:rPr>
          <w:szCs w:val="28"/>
        </w:rPr>
        <w:t xml:space="preserve"> hypersensitivity</w:t>
      </w:r>
      <w:r w:rsidR="00CF75FC">
        <w:rPr>
          <w:szCs w:val="28"/>
        </w:rPr>
        <w:t xml:space="preserve"> </w:t>
      </w:r>
      <w:r w:rsidR="005C65F5" w:rsidRPr="00AF05ED">
        <w:rPr>
          <w:b/>
          <w:bCs/>
          <w:szCs w:val="28"/>
        </w:rPr>
        <w:t>(Mjor et al., 2001)</w:t>
      </w:r>
      <w:r w:rsidR="005C65F5" w:rsidRPr="00CF75FC">
        <w:rPr>
          <w:szCs w:val="28"/>
        </w:rPr>
        <w:t>.</w:t>
      </w:r>
      <w:r w:rsidR="00CF75FC">
        <w:rPr>
          <w:szCs w:val="28"/>
        </w:rPr>
        <w:t xml:space="preserve"> </w:t>
      </w:r>
      <w:r w:rsidR="005C65F5" w:rsidRPr="00AF05ED">
        <w:rPr>
          <w:szCs w:val="28"/>
        </w:rPr>
        <w:t xml:space="preserve">According to formation phases, dentin can be divided into five different types: DEJ, mantle dentin, primary dentin, secondary dentin, and tertiary dentin. This classification reflects the changes in the basic components of the structure as defined by changes in their arrangement, interrelationships, or chemistry </w:t>
      </w:r>
      <w:r w:rsidR="005C65F5" w:rsidRPr="00AF05ED">
        <w:rPr>
          <w:b/>
          <w:bCs/>
          <w:szCs w:val="28"/>
        </w:rPr>
        <w:t>(Marshall et al., 1997)</w:t>
      </w:r>
      <w:r w:rsidR="005C65F5" w:rsidRPr="00CF75FC">
        <w:rPr>
          <w:szCs w:val="28"/>
        </w:rPr>
        <w:t>.</w:t>
      </w:r>
    </w:p>
    <w:p w:rsidR="005C65F5" w:rsidRDefault="00CF75FC" w:rsidP="005C65F5">
      <w:pPr>
        <w:pStyle w:val="ListParagraph"/>
        <w:ind w:left="1170"/>
        <w:rPr>
          <w:szCs w:val="28"/>
        </w:rPr>
      </w:pPr>
      <w:r>
        <w:rPr>
          <w:noProof/>
          <w:lang w:val="en-GB" w:eastAsia="en-GB"/>
        </w:rPr>
        <w:drawing>
          <wp:anchor distT="0" distB="0" distL="114300" distR="114300" simplePos="0" relativeHeight="251658240" behindDoc="1" locked="0" layoutInCell="1" allowOverlap="1" wp14:anchorId="4393F47C" wp14:editId="1E17069A">
            <wp:simplePos x="0" y="0"/>
            <wp:positionH relativeFrom="column">
              <wp:posOffset>1275549</wp:posOffset>
            </wp:positionH>
            <wp:positionV relativeFrom="paragraph">
              <wp:posOffset>99865</wp:posOffset>
            </wp:positionV>
            <wp:extent cx="3458845" cy="2093595"/>
            <wp:effectExtent l="0" t="0" r="8255" b="1905"/>
            <wp:wrapTight wrapText="bothSides">
              <wp:wrapPolygon edited="0">
                <wp:start x="0" y="0"/>
                <wp:lineTo x="0" y="21423"/>
                <wp:lineTo x="21533" y="21423"/>
                <wp:lineTo x="2153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458845" cy="2093595"/>
                    </a:xfrm>
                    <a:prstGeom prst="rect">
                      <a:avLst/>
                    </a:prstGeom>
                  </pic:spPr>
                </pic:pic>
              </a:graphicData>
            </a:graphic>
            <wp14:sizeRelH relativeFrom="margin">
              <wp14:pctWidth>0</wp14:pctWidth>
            </wp14:sizeRelH>
            <wp14:sizeRelV relativeFrom="margin">
              <wp14:pctHeight>0</wp14:pctHeight>
            </wp14:sizeRelV>
          </wp:anchor>
        </w:drawing>
      </w:r>
    </w:p>
    <w:p w:rsidR="005C65F5" w:rsidRPr="00061F70" w:rsidRDefault="00703AF8" w:rsidP="00703AF8">
      <w:pPr>
        <w:pStyle w:val="ListParagraph"/>
        <w:tabs>
          <w:tab w:val="left" w:pos="7560"/>
        </w:tabs>
        <w:ind w:left="1170"/>
        <w:rPr>
          <w:szCs w:val="28"/>
        </w:rPr>
      </w:pPr>
      <w:r>
        <w:rPr>
          <w:szCs w:val="28"/>
        </w:rPr>
        <w:tab/>
      </w:r>
    </w:p>
    <w:p w:rsidR="00061F70" w:rsidRPr="00061F70" w:rsidRDefault="00061F70" w:rsidP="00061F70">
      <w:pPr>
        <w:rPr>
          <w:szCs w:val="28"/>
        </w:rPr>
      </w:pPr>
    </w:p>
    <w:p w:rsidR="009C705D" w:rsidRDefault="00061F70" w:rsidP="00061F70">
      <w:pPr>
        <w:rPr>
          <w:b/>
          <w:bCs/>
          <w:sz w:val="40"/>
          <w:szCs w:val="40"/>
        </w:rPr>
      </w:pPr>
      <w:r>
        <w:rPr>
          <w:b/>
          <w:bCs/>
          <w:sz w:val="40"/>
          <w:szCs w:val="40"/>
        </w:rPr>
        <w:t xml:space="preserve">    </w:t>
      </w:r>
    </w:p>
    <w:p w:rsidR="009C705D" w:rsidRDefault="009C705D" w:rsidP="00061F70">
      <w:pPr>
        <w:rPr>
          <w:b/>
          <w:bCs/>
          <w:sz w:val="40"/>
          <w:szCs w:val="40"/>
        </w:rPr>
      </w:pPr>
    </w:p>
    <w:p w:rsidR="00CF75FC" w:rsidRDefault="00CF75FC" w:rsidP="009C705D">
      <w:pPr>
        <w:pStyle w:val="Caption"/>
      </w:pPr>
    </w:p>
    <w:p w:rsidR="00061F70" w:rsidRDefault="005C65F5" w:rsidP="009C705D">
      <w:pPr>
        <w:pStyle w:val="Caption"/>
      </w:pPr>
      <w:r w:rsidRPr="005C65F5">
        <w:t>Figure 1: Scanning electron micrograph of dentin with open dentinal tubules</w:t>
      </w:r>
      <w:r w:rsidR="00CF75FC">
        <w:t>.</w:t>
      </w:r>
    </w:p>
    <w:p w:rsidR="00CF75FC" w:rsidRPr="00CF75FC" w:rsidRDefault="00CF75FC" w:rsidP="00CF75FC"/>
    <w:p w:rsidR="005C65F5" w:rsidRPr="008754EA" w:rsidRDefault="00CF75FC" w:rsidP="00036314">
      <w:pPr>
        <w:rPr>
          <w:b/>
          <w:bCs/>
          <w:sz w:val="36"/>
          <w:szCs w:val="36"/>
        </w:rPr>
      </w:pPr>
      <w:r>
        <w:rPr>
          <w:rStyle w:val="Heading1Char"/>
        </w:rPr>
        <w:t>S</w:t>
      </w:r>
      <w:r w:rsidR="005C65F5" w:rsidRPr="00CF75FC">
        <w:rPr>
          <w:rStyle w:val="Heading1Char"/>
        </w:rPr>
        <w:t xml:space="preserve">ound dentin </w:t>
      </w:r>
      <w:r w:rsidR="00B57098" w:rsidRPr="00CF75FC">
        <w:rPr>
          <w:rStyle w:val="Heading1Char"/>
        </w:rPr>
        <w:t>versus</w:t>
      </w:r>
      <w:r w:rsidR="005C65F5" w:rsidRPr="00CF75FC">
        <w:rPr>
          <w:rStyle w:val="Heading1Char"/>
        </w:rPr>
        <w:t xml:space="preserve"> hypersensitivity dentin</w:t>
      </w:r>
    </w:p>
    <w:p w:rsidR="005C65F5" w:rsidRDefault="005C65F5" w:rsidP="0029512F">
      <w:pPr>
        <w:rPr>
          <w:szCs w:val="28"/>
        </w:rPr>
      </w:pPr>
      <w:r w:rsidRPr="005C65F5">
        <w:rPr>
          <w:szCs w:val="28"/>
        </w:rPr>
        <w:t>Through the use of scanning electron-microscope</w:t>
      </w:r>
      <w:r w:rsidR="00CF75FC">
        <w:rPr>
          <w:szCs w:val="28"/>
        </w:rPr>
        <w:t>,</w:t>
      </w:r>
      <w:r w:rsidRPr="005C65F5">
        <w:rPr>
          <w:szCs w:val="28"/>
        </w:rPr>
        <w:t xml:space="preserve"> a study showed that teeth with DH approximately have eight times the number and two times the diameter of dentinal tubules in s</w:t>
      </w:r>
      <w:r>
        <w:rPr>
          <w:szCs w:val="28"/>
        </w:rPr>
        <w:t xml:space="preserve">ound teeth </w:t>
      </w:r>
      <w:r w:rsidRPr="00E00C12">
        <w:rPr>
          <w:b/>
          <w:bCs/>
          <w:szCs w:val="28"/>
        </w:rPr>
        <w:t>(Absi et al., 1987)</w:t>
      </w:r>
      <w:r w:rsidRPr="00CF75FC">
        <w:rPr>
          <w:szCs w:val="28"/>
        </w:rPr>
        <w:t>.</w:t>
      </w:r>
      <w:r w:rsidR="00CF75FC">
        <w:rPr>
          <w:szCs w:val="28"/>
        </w:rPr>
        <w:t xml:space="preserve"> </w:t>
      </w:r>
      <w:r w:rsidRPr="005C65F5">
        <w:rPr>
          <w:szCs w:val="28"/>
        </w:rPr>
        <w:t>Furthermore, a study by Transmission Electron Microscop</w:t>
      </w:r>
      <w:r w:rsidR="00CF75FC">
        <w:rPr>
          <w:szCs w:val="28"/>
        </w:rPr>
        <w:t>y</w:t>
      </w:r>
      <w:r w:rsidRPr="005C65F5">
        <w:rPr>
          <w:szCs w:val="28"/>
        </w:rPr>
        <w:t xml:space="preserve"> clearly showed that the lumens of most of the tubules were occluded with mineral crystals in naturally desensitized areas, but such lumens were empty and surrounded with peritubular and inter-tubular dentin in hypersensitive areas </w:t>
      </w:r>
      <w:r w:rsidRPr="00E00C12">
        <w:rPr>
          <w:b/>
          <w:bCs/>
          <w:szCs w:val="28"/>
        </w:rPr>
        <w:t>(Yoshiyama et al., 1990).</w:t>
      </w:r>
      <w:r w:rsidRPr="005C65F5">
        <w:rPr>
          <w:szCs w:val="28"/>
        </w:rPr>
        <w:t xml:space="preserve"> Moreover, electron-dense structures that lined peritubular dentin were observed in the empty lumens of dentinal tubules. In addition, the smear layer of dentinal tubules in teeth with DH were found to be thinner than those in sound teeth </w:t>
      </w:r>
      <w:r w:rsidRPr="00E00C12">
        <w:rPr>
          <w:b/>
          <w:bCs/>
          <w:szCs w:val="28"/>
        </w:rPr>
        <w:t>(Rimondini et al.,1995),</w:t>
      </w:r>
      <w:r w:rsidRPr="005C65F5">
        <w:rPr>
          <w:szCs w:val="28"/>
        </w:rPr>
        <w:t xml:space="preserve"> hence exposure of dentinal tubules along with removal of smear layer will lead for development of dentin hypersensitivity. There are, several distinct structural differences between dentin of </w:t>
      </w:r>
      <w:r w:rsidR="00CF75FC">
        <w:rPr>
          <w:szCs w:val="28"/>
        </w:rPr>
        <w:t xml:space="preserve">the </w:t>
      </w:r>
      <w:r w:rsidRPr="005C65F5">
        <w:rPr>
          <w:szCs w:val="28"/>
        </w:rPr>
        <w:t xml:space="preserve">crown and </w:t>
      </w:r>
      <w:r w:rsidR="00CF75FC">
        <w:rPr>
          <w:szCs w:val="28"/>
        </w:rPr>
        <w:t>the</w:t>
      </w:r>
      <w:r w:rsidRPr="005C65F5">
        <w:rPr>
          <w:szCs w:val="28"/>
        </w:rPr>
        <w:t xml:space="preserve"> root </w:t>
      </w:r>
      <w:r w:rsidRPr="00E00C12">
        <w:rPr>
          <w:b/>
          <w:bCs/>
          <w:szCs w:val="28"/>
        </w:rPr>
        <w:t>(West et al., 2013).</w:t>
      </w:r>
      <w:r w:rsidRPr="005C65F5">
        <w:rPr>
          <w:szCs w:val="28"/>
        </w:rPr>
        <w:t xml:space="preserve"> However, there is no evidence to support differences in their pathogenesis.</w:t>
      </w:r>
    </w:p>
    <w:p w:rsidR="00D016DE" w:rsidRDefault="00D016DE" w:rsidP="00CF75FC">
      <w:pPr>
        <w:pStyle w:val="Heading1"/>
        <w:spacing w:before="0" w:after="120"/>
      </w:pPr>
      <w:r w:rsidRPr="008754EA">
        <w:t xml:space="preserve">Etiology and predisposing factors: </w:t>
      </w:r>
    </w:p>
    <w:p w:rsidR="002D3908" w:rsidRPr="002D3908" w:rsidRDefault="00F5559E" w:rsidP="0029512F">
      <w:r w:rsidRPr="008754EA">
        <w:rPr>
          <w:b/>
          <w:bCs/>
        </w:rPr>
        <w:t xml:space="preserve"> </w:t>
      </w:r>
      <w:r w:rsidRPr="002D3908">
        <w:t xml:space="preserve">The etiology of dentinal hypersensitivity is multifactorial and ascribed mostly to denudation of root surface or wear of the enamel causing exposure of the dentinal tubules and subsequent stimulation of the nerve endings due to local or environmental irritant </w:t>
      </w:r>
      <w:r w:rsidRPr="002D3908">
        <w:rPr>
          <w:b/>
          <w:bCs/>
        </w:rPr>
        <w:t>(Taani</w:t>
      </w:r>
      <w:r w:rsidR="00E80485">
        <w:rPr>
          <w:b/>
          <w:bCs/>
        </w:rPr>
        <w:t xml:space="preserve"> &amp;</w:t>
      </w:r>
      <w:r w:rsidRPr="002D3908">
        <w:rPr>
          <w:b/>
          <w:bCs/>
        </w:rPr>
        <w:t xml:space="preserve"> Awartani, 2001</w:t>
      </w:r>
      <w:r w:rsidR="00433573" w:rsidRPr="00E80485">
        <w:rPr>
          <w:b/>
          <w:bCs/>
        </w:rPr>
        <w:t>)</w:t>
      </w:r>
      <w:r w:rsidR="00E80485">
        <w:t>.</w:t>
      </w:r>
      <w:r w:rsidR="00433573" w:rsidRPr="002D3908">
        <w:t xml:space="preserve"> The etiology can be broadly divided into 2 processes: </w:t>
      </w:r>
      <w:r w:rsidR="00E80485">
        <w:t>l</w:t>
      </w:r>
      <w:r w:rsidR="00433573" w:rsidRPr="002D3908">
        <w:t>esion localization and lesion initiation.</w:t>
      </w:r>
      <w:r w:rsidR="00E80485">
        <w:t xml:space="preserve"> </w:t>
      </w:r>
      <w:r w:rsidR="00433573" w:rsidRPr="00E80485">
        <w:t xml:space="preserve">Lesion </w:t>
      </w:r>
      <w:r w:rsidR="00E80485" w:rsidRPr="00E80485">
        <w:t>l</w:t>
      </w:r>
      <w:r w:rsidR="00433573" w:rsidRPr="00E80485">
        <w:t>ocalization</w:t>
      </w:r>
      <w:r w:rsidR="00092397" w:rsidRPr="002D3908">
        <w:t xml:space="preserve"> </w:t>
      </w:r>
      <w:r w:rsidR="00E80485">
        <w:t>s</w:t>
      </w:r>
      <w:r w:rsidR="00092397" w:rsidRPr="002D3908">
        <w:t>tarts due to dentin exposure due to either enamel loss or cement loss. The various factors attributed are gingival recession, attrition, abrasion, erosion, abfraction, improper instrumentation, and lack of overlap between enamel and cementum at cemento-enamel junction (CEl)</w:t>
      </w:r>
      <w:r w:rsidR="00E80485">
        <w:t xml:space="preserve">, </w:t>
      </w:r>
      <w:r w:rsidR="00E80485" w:rsidRPr="002D3908">
        <w:rPr>
          <w:b/>
          <w:bCs/>
        </w:rPr>
        <w:t>(Cummins</w:t>
      </w:r>
      <w:r w:rsidR="00E80485">
        <w:rPr>
          <w:b/>
          <w:bCs/>
        </w:rPr>
        <w:t>,</w:t>
      </w:r>
      <w:r w:rsidR="00092397" w:rsidRPr="002D3908">
        <w:rPr>
          <w:b/>
          <w:bCs/>
        </w:rPr>
        <w:t xml:space="preserve"> 2010</w:t>
      </w:r>
      <w:r w:rsidR="00E80485" w:rsidRPr="002D3908">
        <w:rPr>
          <w:b/>
          <w:bCs/>
        </w:rPr>
        <w:t>)</w:t>
      </w:r>
      <w:r w:rsidR="00E80485" w:rsidRPr="00E80485">
        <w:t>.</w:t>
      </w:r>
      <w:r w:rsidR="00E80485">
        <w:t xml:space="preserve"> Whilst, </w:t>
      </w:r>
      <w:r w:rsidR="00E80485" w:rsidRPr="00E80485">
        <w:t>l</w:t>
      </w:r>
      <w:r w:rsidR="00092397" w:rsidRPr="00E80485">
        <w:t>esion Initiation</w:t>
      </w:r>
      <w:r w:rsidR="00092397" w:rsidRPr="002D3908">
        <w:t xml:space="preserve"> process requires the opening of dentinal tubules. Toothpaste with abrasives, erosive agents, etc</w:t>
      </w:r>
      <w:r w:rsidR="00E80485">
        <w:t>.</w:t>
      </w:r>
      <w:r w:rsidR="00092397" w:rsidRPr="002D3908">
        <w:t xml:space="preserve"> lead to removal of smear layer after few minutes of exposure and causes bulk loss of dentin. The smear layer is composed of elements of protein and sediments derived from salivary calcium phosphate and seal the tubule inconsistently and transiently. Both mechanical and chemical exposure is required for loss of the smear layer </w:t>
      </w:r>
      <w:r w:rsidR="00E80485" w:rsidRPr="002D3908">
        <w:rPr>
          <w:b/>
          <w:bCs/>
        </w:rPr>
        <w:t>(Borges</w:t>
      </w:r>
      <w:r w:rsidR="00092397" w:rsidRPr="002D3908">
        <w:rPr>
          <w:b/>
          <w:bCs/>
        </w:rPr>
        <w:t xml:space="preserve"> et al</w:t>
      </w:r>
      <w:r w:rsidR="0029512F">
        <w:rPr>
          <w:b/>
          <w:bCs/>
        </w:rPr>
        <w:t>.,</w:t>
      </w:r>
      <w:r w:rsidR="00092397" w:rsidRPr="002D3908">
        <w:rPr>
          <w:b/>
          <w:bCs/>
        </w:rPr>
        <w:t xml:space="preserve"> 2012)</w:t>
      </w:r>
      <w:r w:rsidR="00E80485">
        <w:t>.</w:t>
      </w:r>
      <w:r w:rsidR="00092397" w:rsidRPr="002D3908">
        <w:rPr>
          <w:b/>
          <w:bCs/>
        </w:rPr>
        <w:t xml:space="preserve"> </w:t>
      </w:r>
      <w:r w:rsidR="00092397" w:rsidRPr="002D3908">
        <w:t>In a study</w:t>
      </w:r>
      <w:r w:rsidR="00E80485">
        <w:t xml:space="preserve">, </w:t>
      </w:r>
      <w:r w:rsidR="00092397" w:rsidRPr="00E80485">
        <w:rPr>
          <w:b/>
          <w:bCs/>
        </w:rPr>
        <w:t xml:space="preserve">(Taani </w:t>
      </w:r>
      <w:r w:rsidR="0029512F">
        <w:rPr>
          <w:b/>
          <w:bCs/>
        </w:rPr>
        <w:t xml:space="preserve">&amp; </w:t>
      </w:r>
      <w:r w:rsidR="00092397" w:rsidRPr="00E80485">
        <w:rPr>
          <w:b/>
          <w:bCs/>
        </w:rPr>
        <w:t>Awartani, 2001)</w:t>
      </w:r>
      <w:r w:rsidR="00E80485" w:rsidRPr="0029512F">
        <w:t>,</w:t>
      </w:r>
      <w:r w:rsidR="00092397" w:rsidRPr="002D3908">
        <w:t xml:space="preserve"> </w:t>
      </w:r>
      <w:r w:rsidR="00E80485">
        <w:t xml:space="preserve">within </w:t>
      </w:r>
      <w:r w:rsidR="00092397" w:rsidRPr="002D3908">
        <w:t>dental hospital population showed that 53% of the patients reported hypersensitive teeth, presenting women with higher prevalence of hypersensitive teeth than men</w:t>
      </w:r>
      <w:r w:rsidR="00E80485">
        <w:t xml:space="preserve">. </w:t>
      </w:r>
      <w:r w:rsidR="0029512F">
        <w:t>The</w:t>
      </w:r>
      <w:r w:rsidR="00092397" w:rsidRPr="002D3908">
        <w:t xml:space="preserve"> </w:t>
      </w:r>
      <w:r w:rsidR="0029512F" w:rsidRPr="002D3908">
        <w:t>gingival recession</w:t>
      </w:r>
      <w:r w:rsidR="00092397" w:rsidRPr="002D3908">
        <w:t xml:space="preserve"> </w:t>
      </w:r>
      <w:r w:rsidR="0029512F" w:rsidRPr="002D3908">
        <w:t>played a</w:t>
      </w:r>
      <w:r w:rsidR="00092397" w:rsidRPr="002D3908">
        <w:t xml:space="preserve"> major role in dentine hypersensitivity in approximately 20% of the patients</w:t>
      </w:r>
      <w:r w:rsidR="00E80485">
        <w:t>.</w:t>
      </w:r>
      <w:r w:rsidR="00092397" w:rsidRPr="002D3908">
        <w:t xml:space="preserve"> Another subset of 29% patients had periodontal disease and 3.9% patients reported of previous orthodontic treatment or rehabilitation for trauma from occlusion</w:t>
      </w:r>
      <w:r w:rsidR="00092397" w:rsidRPr="002D3908">
        <w:rPr>
          <w:b/>
          <w:bCs/>
        </w:rPr>
        <w:t>.</w:t>
      </w:r>
      <w:r w:rsidR="002D3908" w:rsidRPr="002D3908">
        <w:rPr>
          <w:b/>
          <w:bCs/>
        </w:rPr>
        <w:t xml:space="preserve"> </w:t>
      </w:r>
      <w:r w:rsidR="002D3908" w:rsidRPr="002D3908">
        <w:t>A summary of the etiological factors contributing to DH is represented in</w:t>
      </w:r>
      <w:r w:rsidR="002D3908" w:rsidRPr="002D3908">
        <w:rPr>
          <w:b/>
          <w:bCs/>
        </w:rPr>
        <w:t xml:space="preserve"> </w:t>
      </w:r>
      <w:r w:rsidR="002D3908" w:rsidRPr="00E80485">
        <w:t>Fig.2</w:t>
      </w:r>
      <w:r w:rsidR="0029512F">
        <w:t>.</w:t>
      </w:r>
    </w:p>
    <w:p w:rsidR="00E80485" w:rsidRDefault="00E80485" w:rsidP="00E80485">
      <w:pPr>
        <w:pStyle w:val="Caption"/>
      </w:pPr>
    </w:p>
    <w:p w:rsidR="00E80485" w:rsidRDefault="00E80485" w:rsidP="00E80485">
      <w:pPr>
        <w:pStyle w:val="Caption"/>
      </w:pPr>
      <w:r w:rsidRPr="00E80485">
        <w:rPr>
          <w:noProof/>
          <w:lang w:val="en-GB" w:eastAsia="en-GB"/>
        </w:rPr>
        <w:drawing>
          <wp:anchor distT="0" distB="0" distL="114300" distR="114300" simplePos="0" relativeHeight="251659264" behindDoc="1" locked="0" layoutInCell="1" allowOverlap="1" wp14:anchorId="7464F558" wp14:editId="60252209">
            <wp:simplePos x="0" y="0"/>
            <wp:positionH relativeFrom="column">
              <wp:posOffset>-31812</wp:posOffset>
            </wp:positionH>
            <wp:positionV relativeFrom="paragraph">
              <wp:posOffset>175245</wp:posOffset>
            </wp:positionV>
            <wp:extent cx="5838825" cy="4667250"/>
            <wp:effectExtent l="0" t="0" r="9525" b="0"/>
            <wp:wrapTight wrapText="bothSides">
              <wp:wrapPolygon edited="0">
                <wp:start x="0" y="0"/>
                <wp:lineTo x="0" y="21512"/>
                <wp:lineTo x="21565" y="21512"/>
                <wp:lineTo x="21565" y="0"/>
                <wp:lineTo x="0" y="0"/>
              </wp:wrapPolygon>
            </wp:wrapTight>
            <wp:docPr id="12" name="Picture 12" descr="C:\Users\hp\Pictures\etiolog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etiology (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8825" cy="4667250"/>
                    </a:xfrm>
                    <a:prstGeom prst="rect">
                      <a:avLst/>
                    </a:prstGeom>
                    <a:noFill/>
                    <a:ln>
                      <a:noFill/>
                    </a:ln>
                  </pic:spPr>
                </pic:pic>
              </a:graphicData>
            </a:graphic>
          </wp:anchor>
        </w:drawing>
      </w:r>
    </w:p>
    <w:p w:rsidR="00E80485" w:rsidRDefault="00E80485" w:rsidP="00E80485">
      <w:pPr>
        <w:pStyle w:val="Caption"/>
      </w:pPr>
    </w:p>
    <w:p w:rsidR="008754EA" w:rsidRDefault="00E80485" w:rsidP="00E80485">
      <w:pPr>
        <w:pStyle w:val="Caption"/>
        <w:rPr>
          <w:sz w:val="28"/>
        </w:rPr>
      </w:pPr>
      <w:r>
        <w:t xml:space="preserve">Figure 2: </w:t>
      </w:r>
      <w:r w:rsidR="002D3908" w:rsidRPr="00E80485">
        <w:t>A summary of the etiological factors contributing to DH</w:t>
      </w:r>
    </w:p>
    <w:p w:rsidR="00E80485" w:rsidRDefault="00E80485" w:rsidP="00E80485">
      <w:pPr>
        <w:pStyle w:val="Heading1"/>
      </w:pPr>
    </w:p>
    <w:p w:rsidR="00E80485" w:rsidRDefault="00E80485" w:rsidP="00E80485"/>
    <w:p w:rsidR="00E80485" w:rsidRDefault="00E80485" w:rsidP="00E80485"/>
    <w:p w:rsidR="00E80485" w:rsidRDefault="00E80485" w:rsidP="00E80485"/>
    <w:p w:rsidR="00E80485" w:rsidRPr="00E80485" w:rsidRDefault="00E80485" w:rsidP="00E80485"/>
    <w:p w:rsidR="008754EA" w:rsidRPr="00E80485" w:rsidRDefault="008754EA" w:rsidP="00E80485">
      <w:pPr>
        <w:pStyle w:val="Heading1"/>
        <w:jc w:val="center"/>
        <w:rPr>
          <w:color w:val="C00000"/>
        </w:rPr>
      </w:pPr>
      <w:r w:rsidRPr="00E80485">
        <w:rPr>
          <w:color w:val="C00000"/>
        </w:rPr>
        <w:t>Treatment material</w:t>
      </w:r>
      <w:r w:rsidR="00E80485" w:rsidRPr="00E80485">
        <w:rPr>
          <w:color w:val="C00000"/>
        </w:rPr>
        <w:t>s</w:t>
      </w:r>
      <w:r w:rsidRPr="00E80485">
        <w:rPr>
          <w:color w:val="C00000"/>
        </w:rPr>
        <w:t xml:space="preserve"> and Technique</w:t>
      </w:r>
      <w:r w:rsidR="00E80485" w:rsidRPr="00E80485">
        <w:rPr>
          <w:color w:val="C00000"/>
        </w:rPr>
        <w:t>s</w:t>
      </w:r>
    </w:p>
    <w:p w:rsidR="0046595C" w:rsidRPr="006F099C" w:rsidRDefault="0046595C" w:rsidP="006F099C">
      <w:pPr>
        <w:rPr>
          <w:szCs w:val="28"/>
        </w:rPr>
      </w:pPr>
      <w:r w:rsidRPr="006F099C">
        <w:rPr>
          <w:szCs w:val="28"/>
        </w:rPr>
        <w:t>Strategies for management and treatment of DHS include</w:t>
      </w:r>
      <w:r w:rsidR="006F099C">
        <w:rPr>
          <w:szCs w:val="28"/>
        </w:rPr>
        <w:t xml:space="preserve">s: </w:t>
      </w:r>
    </w:p>
    <w:p w:rsidR="0046595C" w:rsidRPr="006F099C" w:rsidRDefault="0046595C" w:rsidP="00E80485">
      <w:pPr>
        <w:pStyle w:val="ListParagraph"/>
        <w:numPr>
          <w:ilvl w:val="0"/>
          <w:numId w:val="6"/>
        </w:numPr>
        <w:rPr>
          <w:szCs w:val="28"/>
        </w:rPr>
      </w:pPr>
      <w:r w:rsidRPr="006F099C">
        <w:rPr>
          <w:szCs w:val="28"/>
        </w:rPr>
        <w:t xml:space="preserve">Oral hygiene education </w:t>
      </w:r>
      <w:r w:rsidR="00E80485">
        <w:rPr>
          <w:szCs w:val="28"/>
        </w:rPr>
        <w:t>&amp;</w:t>
      </w:r>
      <w:r w:rsidRPr="006F099C">
        <w:rPr>
          <w:szCs w:val="28"/>
        </w:rPr>
        <w:t xml:space="preserve"> brushing technique instruction</w:t>
      </w:r>
      <w:r w:rsidR="00E80485">
        <w:rPr>
          <w:szCs w:val="28"/>
        </w:rPr>
        <w:t>s</w:t>
      </w:r>
      <w:r w:rsidR="00042E6A">
        <w:rPr>
          <w:szCs w:val="28"/>
        </w:rPr>
        <w:t>.</w:t>
      </w:r>
    </w:p>
    <w:p w:rsidR="0046595C" w:rsidRPr="006F099C" w:rsidRDefault="0046595C" w:rsidP="00042E6A">
      <w:pPr>
        <w:pStyle w:val="ListParagraph"/>
        <w:numPr>
          <w:ilvl w:val="0"/>
          <w:numId w:val="6"/>
        </w:numPr>
        <w:rPr>
          <w:szCs w:val="28"/>
        </w:rPr>
      </w:pPr>
      <w:r w:rsidRPr="006F099C">
        <w:rPr>
          <w:szCs w:val="28"/>
        </w:rPr>
        <w:t xml:space="preserve">Behavioral control and </w:t>
      </w:r>
      <w:r w:rsidR="00042E6A" w:rsidRPr="006F099C">
        <w:rPr>
          <w:szCs w:val="28"/>
        </w:rPr>
        <w:t>elimination of</w:t>
      </w:r>
      <w:r w:rsidRPr="006F099C">
        <w:rPr>
          <w:szCs w:val="28"/>
        </w:rPr>
        <w:t xml:space="preserve"> predisposing factors for DHS</w:t>
      </w:r>
      <w:r w:rsidR="00042E6A">
        <w:rPr>
          <w:szCs w:val="28"/>
        </w:rPr>
        <w:t>.</w:t>
      </w:r>
    </w:p>
    <w:p w:rsidR="0046595C" w:rsidRPr="006F099C" w:rsidRDefault="0046595C" w:rsidP="00042E6A">
      <w:pPr>
        <w:pStyle w:val="ListParagraph"/>
        <w:numPr>
          <w:ilvl w:val="0"/>
          <w:numId w:val="6"/>
        </w:numPr>
        <w:rPr>
          <w:szCs w:val="28"/>
        </w:rPr>
      </w:pPr>
      <w:r w:rsidRPr="006F099C">
        <w:rPr>
          <w:szCs w:val="28"/>
        </w:rPr>
        <w:t>Non-invasive treatments for pain relief through occluding dentin tubules and blocking nociceptive transduction/transmission.</w:t>
      </w:r>
    </w:p>
    <w:p w:rsidR="0046595C" w:rsidRPr="006F099C" w:rsidRDefault="00E80485" w:rsidP="00042E6A">
      <w:pPr>
        <w:pStyle w:val="ListParagraph"/>
        <w:numPr>
          <w:ilvl w:val="0"/>
          <w:numId w:val="6"/>
        </w:numPr>
        <w:rPr>
          <w:szCs w:val="28"/>
        </w:rPr>
      </w:pPr>
      <w:r w:rsidRPr="002D3908">
        <w:rPr>
          <w:noProof/>
          <w:szCs w:val="28"/>
          <w:lang w:val="en-GB" w:eastAsia="en-GB"/>
        </w:rPr>
        <w:drawing>
          <wp:anchor distT="0" distB="0" distL="114300" distR="114300" simplePos="0" relativeHeight="251660288" behindDoc="1" locked="0" layoutInCell="1" allowOverlap="1" wp14:anchorId="0B9790DC" wp14:editId="509CF660">
            <wp:simplePos x="0" y="0"/>
            <wp:positionH relativeFrom="column">
              <wp:posOffset>199505</wp:posOffset>
            </wp:positionH>
            <wp:positionV relativeFrom="paragraph">
              <wp:posOffset>481157</wp:posOffset>
            </wp:positionV>
            <wp:extent cx="5943600" cy="4479938"/>
            <wp:effectExtent l="0" t="0" r="0" b="0"/>
            <wp:wrapTight wrapText="bothSides">
              <wp:wrapPolygon edited="0">
                <wp:start x="0" y="0"/>
                <wp:lineTo x="0" y="21493"/>
                <wp:lineTo x="21531" y="21493"/>
                <wp:lineTo x="21531" y="0"/>
                <wp:lineTo x="0" y="0"/>
              </wp:wrapPolygon>
            </wp:wrapTight>
            <wp:docPr id="13" name="Picture 13" descr="C:\Users\hp\Pictures\man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ictures\manage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79938"/>
                    </a:xfrm>
                    <a:prstGeom prst="rect">
                      <a:avLst/>
                    </a:prstGeom>
                    <a:noFill/>
                    <a:ln>
                      <a:noFill/>
                    </a:ln>
                  </pic:spPr>
                </pic:pic>
              </a:graphicData>
            </a:graphic>
          </wp:anchor>
        </w:drawing>
      </w:r>
      <w:r w:rsidR="0046595C" w:rsidRPr="006F099C">
        <w:rPr>
          <w:szCs w:val="28"/>
        </w:rPr>
        <w:t>Restoration for dental hard defects</w:t>
      </w:r>
      <w:r w:rsidR="00042E6A">
        <w:rPr>
          <w:szCs w:val="28"/>
        </w:rPr>
        <w:t>.</w:t>
      </w:r>
    </w:p>
    <w:p w:rsidR="00E80485" w:rsidRDefault="00E80485" w:rsidP="00E80485">
      <w:pPr>
        <w:pStyle w:val="Caption"/>
      </w:pPr>
    </w:p>
    <w:p w:rsidR="0046595C" w:rsidRDefault="0046595C" w:rsidP="00E80485">
      <w:pPr>
        <w:pStyle w:val="Caption"/>
        <w:rPr>
          <w:b/>
          <w:bCs/>
        </w:rPr>
      </w:pPr>
      <w:r>
        <w:t xml:space="preserve">Fig.3 strategies for managements of dentin hypersensitivity (DHS) </w:t>
      </w:r>
      <w:r w:rsidRPr="0046595C">
        <w:rPr>
          <w:b/>
          <w:bCs/>
        </w:rPr>
        <w:t>(Liu et al.</w:t>
      </w:r>
      <w:r w:rsidR="00E80485">
        <w:rPr>
          <w:b/>
          <w:bCs/>
        </w:rPr>
        <w:t>,</w:t>
      </w:r>
      <w:r w:rsidRPr="0046595C">
        <w:rPr>
          <w:b/>
          <w:bCs/>
        </w:rPr>
        <w:t xml:space="preserve"> </w:t>
      </w:r>
      <w:r>
        <w:rPr>
          <w:b/>
          <w:bCs/>
        </w:rPr>
        <w:t>2020</w:t>
      </w:r>
      <w:r w:rsidRPr="0046595C">
        <w:rPr>
          <w:b/>
          <w:bCs/>
        </w:rPr>
        <w:t>)</w:t>
      </w:r>
    </w:p>
    <w:p w:rsidR="00E80485" w:rsidRPr="00E80485" w:rsidRDefault="00E80485" w:rsidP="00E80485"/>
    <w:p w:rsidR="006F099C" w:rsidRDefault="006F099C" w:rsidP="006F099C">
      <w:pPr>
        <w:rPr>
          <w:b/>
          <w:bCs/>
          <w:szCs w:val="28"/>
        </w:rPr>
      </w:pPr>
    </w:p>
    <w:p w:rsidR="0046595C" w:rsidRPr="006F099C" w:rsidRDefault="0046595C" w:rsidP="00E80485">
      <w:pPr>
        <w:pStyle w:val="Heading1"/>
        <w:spacing w:before="0" w:after="120"/>
      </w:pPr>
      <w:r w:rsidRPr="006F099C">
        <w:t>Oral hygiene instruction for DHS prevention</w:t>
      </w:r>
    </w:p>
    <w:p w:rsidR="009E2195" w:rsidRDefault="006F099C" w:rsidP="00000E7C">
      <w:pPr>
        <w:rPr>
          <w:b/>
          <w:bCs/>
        </w:rPr>
      </w:pPr>
      <w:r w:rsidRPr="006F099C">
        <w:t xml:space="preserve">     </w:t>
      </w:r>
      <w:r w:rsidR="0046595C" w:rsidRPr="006F099C">
        <w:t xml:space="preserve">DHS is largely the result of erosive/abrasive tooth wear or gingival recession related dentin exposure, dental practitioners should employ preventive strategies directed at known predisposing etiological factors for DHS </w:t>
      </w:r>
      <w:r w:rsidR="0046595C" w:rsidRPr="006F099C">
        <w:rPr>
          <w:b/>
          <w:bCs/>
        </w:rPr>
        <w:t>(Gillam</w:t>
      </w:r>
      <w:r w:rsidR="00E80485">
        <w:rPr>
          <w:b/>
          <w:bCs/>
        </w:rPr>
        <w:t>,</w:t>
      </w:r>
      <w:r w:rsidR="0046595C" w:rsidRPr="006F099C">
        <w:rPr>
          <w:b/>
          <w:bCs/>
        </w:rPr>
        <w:t xml:space="preserve"> 2017)</w:t>
      </w:r>
      <w:r w:rsidR="00E80485">
        <w:t>.</w:t>
      </w:r>
      <w:r w:rsidRPr="006F099C">
        <w:rPr>
          <w:b/>
          <w:bCs/>
        </w:rPr>
        <w:t xml:space="preserve"> </w:t>
      </w:r>
      <w:r w:rsidR="0046595C" w:rsidRPr="006F099C">
        <w:t xml:space="preserve">Education, instruction, and engagement in prevention of erosive and abrasive tooth wear and gingival recession should be routinely provided to dental patients. Since the acids from vinegar, fruit and fruit juices, as well as soft drinks (e.g. citric, malic, and </w:t>
      </w:r>
      <w:r w:rsidR="00E80485" w:rsidRPr="006F099C">
        <w:t>phosphoric acid</w:t>
      </w:r>
      <w:r w:rsidR="0046595C" w:rsidRPr="006F099C">
        <w:t>) are the major cause for dental erosion, consumption of the acidic food or beverages should be regulated in patients prone to the development of DHS</w:t>
      </w:r>
      <w:r w:rsidRPr="006F099C">
        <w:rPr>
          <w:b/>
          <w:bCs/>
        </w:rPr>
        <w:t xml:space="preserve"> </w:t>
      </w:r>
      <w:r w:rsidR="0046595C" w:rsidRPr="006F099C">
        <w:rPr>
          <w:b/>
          <w:bCs/>
        </w:rPr>
        <w:t>(Malik et al</w:t>
      </w:r>
      <w:r w:rsidR="00E80485">
        <w:rPr>
          <w:b/>
          <w:bCs/>
        </w:rPr>
        <w:t>.</w:t>
      </w:r>
      <w:r w:rsidR="0046595C" w:rsidRPr="006F099C">
        <w:rPr>
          <w:b/>
          <w:bCs/>
        </w:rPr>
        <w:t xml:space="preserve"> , 2010)</w:t>
      </w:r>
      <w:r w:rsidR="00E80485">
        <w:t>.</w:t>
      </w:r>
      <w:r>
        <w:rPr>
          <w:b/>
          <w:bCs/>
        </w:rPr>
        <w:t xml:space="preserve"> </w:t>
      </w:r>
      <w:r w:rsidR="0046595C" w:rsidRPr="006F099C">
        <w:t xml:space="preserve">Patients </w:t>
      </w:r>
      <w:r w:rsidR="00263448">
        <w:t>must</w:t>
      </w:r>
      <w:r w:rsidR="0046595C" w:rsidRPr="006F099C">
        <w:t xml:space="preserve"> be aware that other foods or beverages, although non-acidic, can contribute to lower pH in the oral cavity. These may contain various sugars or starches, which when broken down to their constituent sugars by salivary amylases, </w:t>
      </w:r>
      <w:r w:rsidR="00263448">
        <w:t xml:space="preserve">which </w:t>
      </w:r>
      <w:r w:rsidR="0046595C" w:rsidRPr="006F099C">
        <w:t xml:space="preserve">can lead to bacterial production of acid (lactic for example). Consuming such foods or beverages before removal of the oral biofilm can thus elevate susceptibility of exposed dentin surfaces to mechanical abrasion, </w:t>
      </w:r>
      <w:r w:rsidR="00000E7C">
        <w:t xml:space="preserve">even from gentle tooth brushing </w:t>
      </w:r>
      <w:r w:rsidR="0046595C" w:rsidRPr="006F099C">
        <w:t>Tooth brushing technique such as selection of soft bristle brush and non-abrasive toothpaste, and using vertical sweeping motion that minimize injury to dental soft and hard tissues should be emphasized</w:t>
      </w:r>
      <w:r>
        <w:rPr>
          <w:b/>
          <w:bCs/>
        </w:rPr>
        <w:t xml:space="preserve"> </w:t>
      </w:r>
      <w:r w:rsidR="00000E7C" w:rsidRPr="006F099C">
        <w:rPr>
          <w:b/>
          <w:bCs/>
        </w:rPr>
        <w:t>(Addy, 2005)</w:t>
      </w:r>
      <w:r w:rsidR="00000E7C">
        <w:t>.</w:t>
      </w:r>
    </w:p>
    <w:p w:rsidR="009E2195" w:rsidRDefault="0046595C" w:rsidP="00263448">
      <w:pPr>
        <w:pStyle w:val="Heading1"/>
        <w:spacing w:before="0" w:after="120"/>
      </w:pPr>
      <w:r w:rsidRPr="009E2195">
        <w:t xml:space="preserve">Behavioral control and elimination of predisposing </w:t>
      </w:r>
      <w:r w:rsidR="003374D0" w:rsidRPr="009E2195">
        <w:t xml:space="preserve">factors </w:t>
      </w:r>
    </w:p>
    <w:p w:rsidR="003374D0" w:rsidRDefault="009E2195" w:rsidP="00263448">
      <w:pPr>
        <w:rPr>
          <w:b/>
          <w:bCs/>
          <w:szCs w:val="28"/>
        </w:rPr>
      </w:pPr>
      <w:r>
        <w:rPr>
          <w:sz w:val="32"/>
          <w:szCs w:val="32"/>
        </w:rPr>
        <w:t xml:space="preserve">     </w:t>
      </w:r>
      <w:r w:rsidR="0046595C" w:rsidRPr="009E2195">
        <w:rPr>
          <w:szCs w:val="28"/>
        </w:rPr>
        <w:t>It is essential to eliminate predisposing factors causing dentin exposure that will cause DHS</w:t>
      </w:r>
      <w:r w:rsidR="00263448">
        <w:rPr>
          <w:szCs w:val="28"/>
        </w:rPr>
        <w:t xml:space="preserve">. </w:t>
      </w:r>
      <w:r w:rsidR="0046595C" w:rsidRPr="009E2195">
        <w:rPr>
          <w:szCs w:val="28"/>
        </w:rPr>
        <w:t>In cases with tooth wear caused by bruxism or compromised dentition, it is recommended that the use of an occlusal guard or restoration of the worn dentition and vertical dimension be done</w:t>
      </w:r>
      <w:r w:rsidR="00263448">
        <w:rPr>
          <w:szCs w:val="28"/>
        </w:rPr>
        <w:t xml:space="preserve"> </w:t>
      </w:r>
      <w:r w:rsidR="0029512F" w:rsidRPr="009E2195">
        <w:rPr>
          <w:b/>
          <w:bCs/>
          <w:szCs w:val="28"/>
        </w:rPr>
        <w:t>(Davari</w:t>
      </w:r>
      <w:r w:rsidR="0046595C" w:rsidRPr="009E2195">
        <w:rPr>
          <w:b/>
          <w:bCs/>
          <w:szCs w:val="28"/>
        </w:rPr>
        <w:t xml:space="preserve"> et al</w:t>
      </w:r>
      <w:r w:rsidR="00263448">
        <w:rPr>
          <w:b/>
          <w:bCs/>
          <w:szCs w:val="28"/>
        </w:rPr>
        <w:t>.,</w:t>
      </w:r>
      <w:r w:rsidR="0046595C" w:rsidRPr="009E2195">
        <w:rPr>
          <w:b/>
          <w:bCs/>
          <w:szCs w:val="28"/>
        </w:rPr>
        <w:t xml:space="preserve"> </w:t>
      </w:r>
      <w:r w:rsidR="0029512F" w:rsidRPr="009E2195">
        <w:rPr>
          <w:b/>
          <w:bCs/>
          <w:szCs w:val="28"/>
        </w:rPr>
        <w:t>2013)</w:t>
      </w:r>
      <w:r w:rsidR="00263448">
        <w:rPr>
          <w:szCs w:val="28"/>
        </w:rPr>
        <w:t>.</w:t>
      </w:r>
      <w:r w:rsidR="0046595C" w:rsidRPr="009E2195">
        <w:rPr>
          <w:szCs w:val="28"/>
        </w:rPr>
        <w:t xml:space="preserve"> Excessive frequency of brushing in the absence of acid-mediated softening of dentinal surfaces has also been noted in many subjects plagued by DHS </w:t>
      </w:r>
      <w:r w:rsidR="0046595C" w:rsidRPr="009E2195">
        <w:rPr>
          <w:b/>
          <w:bCs/>
          <w:szCs w:val="28"/>
        </w:rPr>
        <w:t>(Addy, 2005)</w:t>
      </w:r>
      <w:r w:rsidR="00263448">
        <w:rPr>
          <w:szCs w:val="28"/>
        </w:rPr>
        <w:t>.</w:t>
      </w:r>
      <w:r w:rsidR="0046595C" w:rsidRPr="009E2195">
        <w:rPr>
          <w:b/>
          <w:bCs/>
          <w:szCs w:val="28"/>
        </w:rPr>
        <w:t xml:space="preserve"> </w:t>
      </w:r>
      <w:r w:rsidR="0046595C" w:rsidRPr="009E2195">
        <w:rPr>
          <w:szCs w:val="28"/>
        </w:rPr>
        <w:t>Medical and psychiatric conditions may contribute to dental erosion/abrasion and gingiva recession. Gastric reflux, the release into and the retention of gastric acids within the oral cavity, can erode both enamel and dentin aggressively leading to softening of surface dentin, thereby predisposing it to accelerated wear.</w:t>
      </w:r>
      <w:r w:rsidR="0046595C" w:rsidRPr="0046595C">
        <w:t xml:space="preserve"> </w:t>
      </w:r>
      <w:r w:rsidR="0046595C" w:rsidRPr="009E2195">
        <w:rPr>
          <w:szCs w:val="28"/>
        </w:rPr>
        <w:t>In any case, medical and/or psychiatric causes of DHS must be identified and be treated or controlled</w:t>
      </w:r>
      <w:r w:rsidR="0046595C" w:rsidRPr="009E2195">
        <w:rPr>
          <w:b/>
          <w:bCs/>
          <w:szCs w:val="28"/>
        </w:rPr>
        <w:t xml:space="preserve"> (Mayhew, 1998)</w:t>
      </w:r>
      <w:r w:rsidR="00263448" w:rsidRPr="00263448">
        <w:rPr>
          <w:szCs w:val="28"/>
        </w:rPr>
        <w:t>.</w:t>
      </w:r>
      <w:r>
        <w:rPr>
          <w:b/>
          <w:bCs/>
          <w:szCs w:val="28"/>
        </w:rPr>
        <w:t xml:space="preserve"> </w:t>
      </w:r>
    </w:p>
    <w:p w:rsidR="00BE5828" w:rsidRDefault="00BE5828" w:rsidP="0029512F">
      <w:pPr>
        <w:pStyle w:val="Caption"/>
        <w:rPr>
          <w:b/>
          <w:bCs/>
        </w:rPr>
      </w:pPr>
      <w:r>
        <w:rPr>
          <w:noProof/>
          <w:lang w:val="en-GB" w:eastAsia="en-GB"/>
        </w:rPr>
        <w:drawing>
          <wp:anchor distT="0" distB="0" distL="114300" distR="114300" simplePos="0" relativeHeight="251661312" behindDoc="1" locked="0" layoutInCell="1" allowOverlap="1" wp14:anchorId="30A4B265" wp14:editId="395C8749">
            <wp:simplePos x="0" y="0"/>
            <wp:positionH relativeFrom="column">
              <wp:posOffset>370840</wp:posOffset>
            </wp:positionH>
            <wp:positionV relativeFrom="paragraph">
              <wp:posOffset>99060</wp:posOffset>
            </wp:positionV>
            <wp:extent cx="5286375" cy="2781300"/>
            <wp:effectExtent l="0" t="0" r="9525" b="0"/>
            <wp:wrapTight wrapText="bothSides">
              <wp:wrapPolygon edited="0">
                <wp:start x="0" y="0"/>
                <wp:lineTo x="0" y="21452"/>
                <wp:lineTo x="21561" y="21452"/>
                <wp:lineTo x="2156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286375" cy="2781300"/>
                    </a:xfrm>
                    <a:prstGeom prst="rect">
                      <a:avLst/>
                    </a:prstGeom>
                  </pic:spPr>
                </pic:pic>
              </a:graphicData>
            </a:graphic>
            <wp14:sizeRelH relativeFrom="margin">
              <wp14:pctWidth>0</wp14:pctWidth>
            </wp14:sizeRelH>
            <wp14:sizeRelV relativeFrom="margin">
              <wp14:pctHeight>0</wp14:pctHeight>
            </wp14:sizeRelV>
          </wp:anchor>
        </w:drawing>
      </w:r>
    </w:p>
    <w:p w:rsidR="00BE5828" w:rsidRDefault="00BE5828" w:rsidP="0029512F">
      <w:pPr>
        <w:pStyle w:val="Caption"/>
        <w:rPr>
          <w:b/>
          <w:bCs/>
        </w:rPr>
      </w:pPr>
    </w:p>
    <w:p w:rsidR="00BE5828" w:rsidRDefault="00BE5828" w:rsidP="0029512F">
      <w:pPr>
        <w:pStyle w:val="Caption"/>
        <w:rPr>
          <w:b/>
          <w:bCs/>
        </w:rPr>
      </w:pPr>
    </w:p>
    <w:p w:rsidR="00BE5828" w:rsidRDefault="00BE5828" w:rsidP="0029512F">
      <w:pPr>
        <w:pStyle w:val="Caption"/>
        <w:rPr>
          <w:b/>
          <w:bCs/>
        </w:rPr>
      </w:pPr>
    </w:p>
    <w:p w:rsidR="00BE5828" w:rsidRDefault="00BE5828" w:rsidP="0029512F">
      <w:pPr>
        <w:pStyle w:val="Caption"/>
        <w:rPr>
          <w:b/>
          <w:bCs/>
        </w:rPr>
      </w:pPr>
    </w:p>
    <w:p w:rsidR="00BE5828" w:rsidRDefault="00BE5828" w:rsidP="0029512F">
      <w:pPr>
        <w:pStyle w:val="Caption"/>
        <w:rPr>
          <w:b/>
          <w:bCs/>
        </w:rPr>
      </w:pPr>
    </w:p>
    <w:p w:rsidR="00BE5828" w:rsidRDefault="00BE5828" w:rsidP="0029512F">
      <w:pPr>
        <w:pStyle w:val="Caption"/>
        <w:rPr>
          <w:b/>
          <w:bCs/>
        </w:rPr>
      </w:pPr>
    </w:p>
    <w:p w:rsidR="00BE5828" w:rsidRDefault="00BE5828" w:rsidP="0029512F">
      <w:pPr>
        <w:pStyle w:val="Caption"/>
        <w:rPr>
          <w:b/>
          <w:bCs/>
        </w:rPr>
      </w:pPr>
    </w:p>
    <w:p w:rsidR="00BE5828" w:rsidRDefault="00BE5828" w:rsidP="0029512F">
      <w:pPr>
        <w:pStyle w:val="Caption"/>
        <w:rPr>
          <w:b/>
          <w:bCs/>
        </w:rPr>
      </w:pPr>
    </w:p>
    <w:p w:rsidR="00BE5828" w:rsidRDefault="00BE5828" w:rsidP="0029512F">
      <w:pPr>
        <w:pStyle w:val="Caption"/>
        <w:rPr>
          <w:b/>
          <w:bCs/>
        </w:rPr>
      </w:pPr>
    </w:p>
    <w:p w:rsidR="009E2195" w:rsidRDefault="009E2195" w:rsidP="0029512F">
      <w:pPr>
        <w:pStyle w:val="Caption"/>
      </w:pPr>
      <w:r w:rsidRPr="009E2195">
        <w:rPr>
          <w:b/>
          <w:bCs/>
        </w:rPr>
        <w:t>Fig. 4</w:t>
      </w:r>
      <w:r>
        <w:rPr>
          <w:b/>
          <w:bCs/>
          <w:sz w:val="32"/>
          <w:szCs w:val="32"/>
        </w:rPr>
        <w:t xml:space="preserve"> </w:t>
      </w:r>
      <w:r w:rsidR="0029512F">
        <w:t>P</w:t>
      </w:r>
      <w:r w:rsidRPr="009E2195">
        <w:t>revention procedures for dentin hypersensitivity</w:t>
      </w:r>
      <w:r w:rsidR="00263448">
        <w:t>.</w:t>
      </w:r>
    </w:p>
    <w:p w:rsidR="00263448" w:rsidRPr="00263448" w:rsidRDefault="00263448" w:rsidP="00263448"/>
    <w:p w:rsidR="0046595C" w:rsidRPr="00263448" w:rsidRDefault="0046595C" w:rsidP="00BE1818">
      <w:pPr>
        <w:pStyle w:val="ListParagraph"/>
        <w:ind w:left="0"/>
        <w:rPr>
          <w:rStyle w:val="Heading1Char"/>
        </w:rPr>
      </w:pPr>
      <w:r w:rsidRPr="00263448">
        <w:rPr>
          <w:rStyle w:val="Heading1Char"/>
        </w:rPr>
        <w:t xml:space="preserve">Non-invasive treatments for pain relief </w:t>
      </w:r>
    </w:p>
    <w:p w:rsidR="0013038B" w:rsidRPr="003374D0" w:rsidRDefault="0046595C" w:rsidP="00263448">
      <w:pPr>
        <w:pStyle w:val="ListParagraph"/>
        <w:ind w:left="0"/>
        <w:rPr>
          <w:szCs w:val="28"/>
        </w:rPr>
      </w:pPr>
      <w:r w:rsidRPr="0046595C">
        <w:rPr>
          <w:szCs w:val="28"/>
        </w:rPr>
        <w:t>Application of desens</w:t>
      </w:r>
      <w:r>
        <w:rPr>
          <w:szCs w:val="28"/>
        </w:rPr>
        <w:t>itizing agents is the most fre</w:t>
      </w:r>
      <w:r w:rsidRPr="0046595C">
        <w:rPr>
          <w:szCs w:val="28"/>
        </w:rPr>
        <w:t>quently used non-invasive treatment for DHS.</w:t>
      </w:r>
      <w:r>
        <w:rPr>
          <w:szCs w:val="28"/>
        </w:rPr>
        <w:t xml:space="preserve"> </w:t>
      </w:r>
      <w:r w:rsidRPr="0046595C">
        <w:rPr>
          <w:szCs w:val="28"/>
        </w:rPr>
        <w:t xml:space="preserve">When self-care strategy fails to diminish root dentin hypersensitivity a professional is necessary, in which the treatment modalities are topical approaches </w:t>
      </w:r>
      <w:r w:rsidRPr="0046595C">
        <w:rPr>
          <w:b/>
          <w:bCs/>
          <w:szCs w:val="28"/>
        </w:rPr>
        <w:t>(Lacevic et al., 2004)</w:t>
      </w:r>
      <w:r w:rsidRPr="00263448">
        <w:rPr>
          <w:szCs w:val="28"/>
        </w:rPr>
        <w:t>.</w:t>
      </w:r>
      <w:r w:rsidR="006F099C" w:rsidRPr="00263448">
        <w:rPr>
          <w:szCs w:val="28"/>
        </w:rPr>
        <w:t xml:space="preserve"> </w:t>
      </w:r>
      <w:r w:rsidRPr="0046595C">
        <w:rPr>
          <w:szCs w:val="28"/>
        </w:rPr>
        <w:t>Treatment options is carried through two mechanisms;</w:t>
      </w:r>
      <w:r>
        <w:rPr>
          <w:szCs w:val="28"/>
        </w:rPr>
        <w:t xml:space="preserve"> </w:t>
      </w:r>
      <w:r w:rsidRPr="0046595C">
        <w:rPr>
          <w:szCs w:val="28"/>
        </w:rPr>
        <w:t xml:space="preserve">blockage of pulpal nerve activity which can be achieved through potassium salts </w:t>
      </w:r>
      <w:r w:rsidRPr="0046595C">
        <w:rPr>
          <w:b/>
          <w:bCs/>
          <w:szCs w:val="28"/>
        </w:rPr>
        <w:t>(Haywood et al., 2001</w:t>
      </w:r>
      <w:r w:rsidRPr="0046595C">
        <w:rPr>
          <w:szCs w:val="28"/>
        </w:rPr>
        <w:t xml:space="preserve">) occlusion of dentinal tubules which can be achieved </w:t>
      </w:r>
      <w:r w:rsidR="00263448">
        <w:rPr>
          <w:szCs w:val="28"/>
        </w:rPr>
        <w:t>by using</w:t>
      </w:r>
      <w:r w:rsidRPr="0046595C">
        <w:rPr>
          <w:szCs w:val="28"/>
        </w:rPr>
        <w:t xml:space="preserve"> agents that leads to precipitation of a dentin-like mineral </w:t>
      </w:r>
      <w:r w:rsidRPr="0046595C">
        <w:rPr>
          <w:b/>
          <w:bCs/>
          <w:szCs w:val="28"/>
        </w:rPr>
        <w:t xml:space="preserve">(Hack </w:t>
      </w:r>
      <w:r w:rsidR="00263448">
        <w:rPr>
          <w:b/>
          <w:bCs/>
          <w:szCs w:val="28"/>
        </w:rPr>
        <w:t>&amp;</w:t>
      </w:r>
      <w:r w:rsidRPr="0046595C">
        <w:rPr>
          <w:b/>
          <w:bCs/>
          <w:szCs w:val="28"/>
        </w:rPr>
        <w:t xml:space="preserve"> Thompson, 1994); </w:t>
      </w:r>
      <w:r w:rsidRPr="0046595C">
        <w:rPr>
          <w:szCs w:val="28"/>
        </w:rPr>
        <w:t xml:space="preserve">through the application of products leading to formation of salivary protein precipitants in dentine tubule </w:t>
      </w:r>
      <w:r w:rsidRPr="0046595C">
        <w:rPr>
          <w:b/>
          <w:bCs/>
          <w:szCs w:val="28"/>
        </w:rPr>
        <w:t xml:space="preserve">(Addy </w:t>
      </w:r>
      <w:r w:rsidR="00263448">
        <w:rPr>
          <w:b/>
          <w:bCs/>
          <w:szCs w:val="28"/>
        </w:rPr>
        <w:t>&amp;</w:t>
      </w:r>
      <w:r w:rsidRPr="0046595C">
        <w:rPr>
          <w:b/>
          <w:bCs/>
          <w:szCs w:val="28"/>
        </w:rPr>
        <w:t xml:space="preserve"> Mostafa, 1988)</w:t>
      </w:r>
      <w:r>
        <w:rPr>
          <w:szCs w:val="28"/>
        </w:rPr>
        <w:t xml:space="preserve">  </w:t>
      </w:r>
      <w:r w:rsidRPr="0046595C">
        <w:rPr>
          <w:szCs w:val="28"/>
        </w:rPr>
        <w:t xml:space="preserve">by use of anti-inflammatory agents </w:t>
      </w:r>
      <w:r w:rsidRPr="0046595C">
        <w:rPr>
          <w:b/>
          <w:bCs/>
          <w:szCs w:val="28"/>
        </w:rPr>
        <w:t xml:space="preserve">(Scherman </w:t>
      </w:r>
      <w:r w:rsidR="00263448">
        <w:rPr>
          <w:b/>
          <w:bCs/>
          <w:szCs w:val="28"/>
        </w:rPr>
        <w:t>&amp; Jacobsen</w:t>
      </w:r>
      <w:r w:rsidRPr="0046595C">
        <w:rPr>
          <w:b/>
          <w:bCs/>
          <w:szCs w:val="28"/>
        </w:rPr>
        <w:t>, 1992)</w:t>
      </w:r>
      <w:r w:rsidRPr="00263448">
        <w:rPr>
          <w:szCs w:val="28"/>
        </w:rPr>
        <w:t>,</w:t>
      </w:r>
      <w:r w:rsidRPr="0046595C">
        <w:rPr>
          <w:b/>
          <w:bCs/>
          <w:szCs w:val="28"/>
        </w:rPr>
        <w:t xml:space="preserve"> </w:t>
      </w:r>
      <w:r w:rsidRPr="0046595C">
        <w:rPr>
          <w:szCs w:val="28"/>
        </w:rPr>
        <w:t xml:space="preserve">through applying bioactive-glass that form an appetite layer which occludes the dentinal tubules </w:t>
      </w:r>
      <w:r w:rsidRPr="0046595C">
        <w:rPr>
          <w:b/>
          <w:bCs/>
          <w:szCs w:val="28"/>
        </w:rPr>
        <w:t>(Forsback et al., 2004)</w:t>
      </w:r>
      <w:r w:rsidR="00263448" w:rsidRPr="00263448">
        <w:rPr>
          <w:szCs w:val="28"/>
        </w:rPr>
        <w:t>.</w:t>
      </w:r>
      <w:r>
        <w:rPr>
          <w:b/>
          <w:bCs/>
          <w:szCs w:val="28"/>
        </w:rPr>
        <w:t xml:space="preserve"> </w:t>
      </w:r>
      <w:r w:rsidR="00BE1818" w:rsidRPr="0046595C">
        <w:rPr>
          <w:szCs w:val="28"/>
        </w:rPr>
        <w:t>By</w:t>
      </w:r>
      <w:r w:rsidRPr="0046595C">
        <w:rPr>
          <w:szCs w:val="28"/>
        </w:rPr>
        <w:t xml:space="preserve"> the application of adhesive resin materials which seal the dentine tubules by forming a hybrid layer and resinous tags</w:t>
      </w:r>
      <w:r w:rsidRPr="0046595C">
        <w:rPr>
          <w:b/>
          <w:bCs/>
          <w:szCs w:val="28"/>
        </w:rPr>
        <w:t xml:space="preserve"> (</w:t>
      </w:r>
      <w:r>
        <w:rPr>
          <w:b/>
          <w:bCs/>
          <w:szCs w:val="28"/>
        </w:rPr>
        <w:t>Orchardson, Gillam, 2006</w:t>
      </w:r>
      <w:r w:rsidRPr="00263448">
        <w:rPr>
          <w:b/>
          <w:bCs/>
          <w:szCs w:val="28"/>
        </w:rPr>
        <w:t>)</w:t>
      </w:r>
      <w:r w:rsidR="00263448" w:rsidRPr="00263448">
        <w:rPr>
          <w:szCs w:val="28"/>
        </w:rPr>
        <w:t>. While</w:t>
      </w:r>
      <w:r w:rsidR="003374D0">
        <w:rPr>
          <w:szCs w:val="28"/>
        </w:rPr>
        <w:t xml:space="preserve"> </w:t>
      </w:r>
      <w:r w:rsidR="0013038B" w:rsidRPr="0013038B">
        <w:rPr>
          <w:szCs w:val="28"/>
        </w:rPr>
        <w:t>the use of Heal Ozone treatment where the ozone penetrates the exposed tubules eliminating bacterial contamination and allowing mineral ingress and subsequent sealing of the dentine tubules</w:t>
      </w:r>
      <w:r w:rsidR="00BF2AFA">
        <w:rPr>
          <w:b/>
          <w:bCs/>
          <w:szCs w:val="28"/>
        </w:rPr>
        <w:t xml:space="preserve"> (</w:t>
      </w:r>
      <w:r w:rsidR="00BE5828" w:rsidRPr="008C274E">
        <w:rPr>
          <w:rFonts w:asciiTheme="minorBidi" w:hAnsiTheme="minorBidi"/>
          <w:b/>
          <w:bCs/>
          <w:szCs w:val="28"/>
        </w:rPr>
        <w:t>Bubteina &amp;</w:t>
      </w:r>
      <w:r w:rsidR="00BF2AFA" w:rsidRPr="008C274E">
        <w:rPr>
          <w:rFonts w:asciiTheme="minorBidi" w:hAnsiTheme="minorBidi"/>
          <w:b/>
          <w:bCs/>
          <w:szCs w:val="28"/>
        </w:rPr>
        <w:t xml:space="preserve"> Garoushi, 2015</w:t>
      </w:r>
      <w:r w:rsidR="0013038B" w:rsidRPr="0013038B">
        <w:rPr>
          <w:b/>
          <w:bCs/>
          <w:szCs w:val="28"/>
        </w:rPr>
        <w:t>)</w:t>
      </w:r>
      <w:r w:rsidR="00263448">
        <w:rPr>
          <w:b/>
          <w:bCs/>
          <w:szCs w:val="28"/>
        </w:rPr>
        <w:t>.</w:t>
      </w:r>
    </w:p>
    <w:p w:rsidR="00BE1818" w:rsidRPr="003374D0" w:rsidRDefault="00263448" w:rsidP="008C274E">
      <w:pPr>
        <w:pStyle w:val="ListParagraph"/>
        <w:ind w:left="0"/>
        <w:rPr>
          <w:b/>
          <w:bCs/>
          <w:szCs w:val="28"/>
        </w:rPr>
      </w:pPr>
      <w:r>
        <w:rPr>
          <w:szCs w:val="28"/>
        </w:rPr>
        <w:t>The</w:t>
      </w:r>
      <w:r w:rsidR="0046595C" w:rsidRPr="0046595C">
        <w:rPr>
          <w:szCs w:val="28"/>
        </w:rPr>
        <w:t xml:space="preserve"> appl</w:t>
      </w:r>
      <w:r>
        <w:rPr>
          <w:szCs w:val="28"/>
        </w:rPr>
        <w:t>ication of dental</w:t>
      </w:r>
      <w:r w:rsidR="0046595C" w:rsidRPr="0046595C">
        <w:rPr>
          <w:szCs w:val="28"/>
        </w:rPr>
        <w:t xml:space="preserve"> lasers </w:t>
      </w:r>
      <w:r>
        <w:rPr>
          <w:szCs w:val="28"/>
        </w:rPr>
        <w:t>will promote</w:t>
      </w:r>
      <w:r w:rsidR="0046595C" w:rsidRPr="0046595C">
        <w:rPr>
          <w:szCs w:val="28"/>
        </w:rPr>
        <w:t xml:space="preserve"> recrystallization of dentin producing a glazed, nonporous surface that partially or totally obliterate dentine tubules, or by affecting the neural transmission through coagulation of proteins in the dentinal fluid and hence reduce permeability and block fluid movement</w:t>
      </w:r>
      <w:r w:rsidR="008C274E">
        <w:rPr>
          <w:szCs w:val="28"/>
        </w:rPr>
        <w:t xml:space="preserve"> </w:t>
      </w:r>
      <w:r w:rsidR="008C274E">
        <w:rPr>
          <w:b/>
          <w:bCs/>
          <w:szCs w:val="28"/>
        </w:rPr>
        <w:t>(</w:t>
      </w:r>
      <w:r w:rsidR="008C274E" w:rsidRPr="008C274E">
        <w:rPr>
          <w:rFonts w:asciiTheme="minorBidi" w:hAnsiTheme="minorBidi"/>
          <w:b/>
          <w:bCs/>
          <w:szCs w:val="28"/>
        </w:rPr>
        <w:t>Bubteina  &amp; Garoushi, 2015</w:t>
      </w:r>
      <w:r w:rsidR="008C274E" w:rsidRPr="0013038B">
        <w:rPr>
          <w:b/>
          <w:bCs/>
          <w:szCs w:val="28"/>
        </w:rPr>
        <w:t>)</w:t>
      </w:r>
      <w:r w:rsidR="008C274E">
        <w:rPr>
          <w:b/>
          <w:bCs/>
          <w:szCs w:val="28"/>
        </w:rPr>
        <w:t>.</w:t>
      </w:r>
      <w:r w:rsidR="0046595C" w:rsidRPr="0046595C">
        <w:rPr>
          <w:b/>
          <w:bCs/>
          <w:szCs w:val="28"/>
        </w:rPr>
        <w:t xml:space="preserve"> Kimura </w:t>
      </w:r>
      <w:r>
        <w:rPr>
          <w:b/>
          <w:bCs/>
          <w:szCs w:val="28"/>
        </w:rPr>
        <w:t>&amp;</w:t>
      </w:r>
      <w:r w:rsidR="0046595C" w:rsidRPr="0046595C">
        <w:rPr>
          <w:b/>
          <w:bCs/>
          <w:szCs w:val="28"/>
        </w:rPr>
        <w:t xml:space="preserve"> Wilder-Smith </w:t>
      </w:r>
      <w:r>
        <w:rPr>
          <w:b/>
          <w:bCs/>
          <w:szCs w:val="28"/>
        </w:rPr>
        <w:t>(</w:t>
      </w:r>
      <w:r w:rsidR="0046595C" w:rsidRPr="0046595C">
        <w:rPr>
          <w:b/>
          <w:bCs/>
          <w:szCs w:val="28"/>
        </w:rPr>
        <w:t>2007)</w:t>
      </w:r>
      <w:r w:rsidR="0046595C" w:rsidRPr="0046595C">
        <w:rPr>
          <w:szCs w:val="28"/>
        </w:rPr>
        <w:t xml:space="preserve"> </w:t>
      </w:r>
      <w:r>
        <w:rPr>
          <w:szCs w:val="28"/>
        </w:rPr>
        <w:t>supported</w:t>
      </w:r>
      <w:r w:rsidR="0046595C" w:rsidRPr="0046595C">
        <w:rPr>
          <w:szCs w:val="28"/>
        </w:rPr>
        <w:t xml:space="preserve"> the efficiency of th</w:t>
      </w:r>
      <w:r>
        <w:rPr>
          <w:szCs w:val="28"/>
        </w:rPr>
        <w:t>ose</w:t>
      </w:r>
      <w:r w:rsidR="0046595C" w:rsidRPr="0046595C">
        <w:rPr>
          <w:szCs w:val="28"/>
        </w:rPr>
        <w:t xml:space="preserve"> methods. Based on the mechanism of action, the most recently developed materials used in experiments are discussed below in regard to desensitizing </w:t>
      </w:r>
      <w:r w:rsidR="00BE1818">
        <w:rPr>
          <w:szCs w:val="28"/>
        </w:rPr>
        <w:t>measures which are divided into:</w:t>
      </w:r>
    </w:p>
    <w:p w:rsidR="004B5CD8" w:rsidRDefault="004B5CD8" w:rsidP="00263448">
      <w:pPr>
        <w:pStyle w:val="Caption"/>
      </w:pPr>
    </w:p>
    <w:p w:rsidR="004B5CD8" w:rsidRDefault="004B5CD8" w:rsidP="00263448">
      <w:pPr>
        <w:pStyle w:val="Caption"/>
      </w:pPr>
    </w:p>
    <w:p w:rsidR="004B5CD8" w:rsidRDefault="004B5CD8" w:rsidP="00263448">
      <w:pPr>
        <w:pStyle w:val="Caption"/>
      </w:pPr>
    </w:p>
    <w:p w:rsidR="004B5CD8" w:rsidRDefault="004B5CD8" w:rsidP="00263448">
      <w:pPr>
        <w:pStyle w:val="Caption"/>
      </w:pPr>
    </w:p>
    <w:p w:rsidR="00BE5828" w:rsidRDefault="00BE5828" w:rsidP="00BE5828">
      <w:pPr>
        <w:pStyle w:val="Caption"/>
        <w:jc w:val="left"/>
      </w:pPr>
    </w:p>
    <w:p w:rsidR="00BE5828" w:rsidRDefault="00BE5828" w:rsidP="00BE5828">
      <w:pPr>
        <w:pStyle w:val="Caption"/>
        <w:jc w:val="left"/>
      </w:pPr>
      <w:r>
        <w:rPr>
          <w:noProof/>
          <w:lang w:val="en-GB" w:eastAsia="en-GB"/>
        </w:rPr>
        <w:drawing>
          <wp:anchor distT="0" distB="0" distL="114300" distR="114300" simplePos="0" relativeHeight="251669504" behindDoc="1" locked="0" layoutInCell="1" allowOverlap="1">
            <wp:simplePos x="0" y="0"/>
            <wp:positionH relativeFrom="column">
              <wp:posOffset>-194830</wp:posOffset>
            </wp:positionH>
            <wp:positionV relativeFrom="paragraph">
              <wp:posOffset>302290</wp:posOffset>
            </wp:positionV>
            <wp:extent cx="6381876" cy="3276000"/>
            <wp:effectExtent l="19050" t="19050" r="19050" b="19685"/>
            <wp:wrapTight wrapText="bothSides">
              <wp:wrapPolygon edited="0">
                <wp:start x="-64" y="-126"/>
                <wp:lineTo x="-64" y="21604"/>
                <wp:lineTo x="21600" y="21604"/>
                <wp:lineTo x="21600" y="-126"/>
                <wp:lineTo x="-64" y="-126"/>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81876" cy="3276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BE1818" w:rsidRPr="003374D0" w:rsidRDefault="003374D0" w:rsidP="00BE5828">
      <w:pPr>
        <w:pStyle w:val="Caption"/>
        <w:rPr>
          <w:noProof/>
        </w:rPr>
      </w:pPr>
      <w:r w:rsidRPr="00A66D2D">
        <w:rPr>
          <w:b/>
          <w:bCs/>
        </w:rPr>
        <w:t xml:space="preserve">Figure </w:t>
      </w:r>
      <w:r w:rsidR="009E2195" w:rsidRPr="00A66D2D">
        <w:rPr>
          <w:b/>
          <w:bCs/>
        </w:rPr>
        <w:t>5</w:t>
      </w:r>
      <w:r w:rsidR="004B5CD8">
        <w:t>.</w:t>
      </w:r>
      <w:r w:rsidR="009E2195">
        <w:t xml:space="preserve"> </w:t>
      </w:r>
      <w:r w:rsidR="004B5CD8">
        <w:t>T</w:t>
      </w:r>
      <w:r w:rsidRPr="003374D0">
        <w:t xml:space="preserve">reatment </w:t>
      </w:r>
      <w:r w:rsidRPr="00263448">
        <w:t>material</w:t>
      </w:r>
      <w:r w:rsidR="00263448">
        <w:t>s</w:t>
      </w:r>
      <w:r w:rsidRPr="003374D0">
        <w:t xml:space="preserve"> </w:t>
      </w:r>
      <w:r w:rsidR="004B5CD8">
        <w:t>&amp;</w:t>
      </w:r>
      <w:r w:rsidRPr="003374D0">
        <w:t xml:space="preserve"> technique</w:t>
      </w:r>
      <w:r w:rsidR="00263448">
        <w:t>s.</w:t>
      </w:r>
    </w:p>
    <w:p w:rsidR="00BE5828" w:rsidRDefault="00BE5828" w:rsidP="00BE1818">
      <w:pPr>
        <w:rPr>
          <w:noProof/>
          <w:lang w:val="en-GB" w:eastAsia="en-GB"/>
        </w:rPr>
      </w:pPr>
    </w:p>
    <w:p w:rsidR="00BE1818" w:rsidRPr="00036314" w:rsidRDefault="002C0757" w:rsidP="004B5CD8">
      <w:pPr>
        <w:pStyle w:val="Heading1"/>
        <w:spacing w:before="0" w:after="120"/>
        <w:rPr>
          <w:color w:val="1F3864" w:themeColor="accent5" w:themeShade="80"/>
        </w:rPr>
      </w:pPr>
      <w:r w:rsidRPr="00036314">
        <w:rPr>
          <w:color w:val="1F3864" w:themeColor="accent5" w:themeShade="80"/>
        </w:rPr>
        <w:t xml:space="preserve">Nerve desensitizing agent </w:t>
      </w:r>
    </w:p>
    <w:p w:rsidR="00D11F08" w:rsidRDefault="009E2195" w:rsidP="00497B00">
      <w:pPr>
        <w:rPr>
          <w:b/>
          <w:bCs/>
        </w:rPr>
      </w:pPr>
      <w:r>
        <w:t xml:space="preserve">   </w:t>
      </w:r>
      <w:r w:rsidR="004B5CD8">
        <w:t>It</w:t>
      </w:r>
      <w:r w:rsidR="002C0757" w:rsidRPr="002C0757">
        <w:t xml:space="preserve"> is the primary therapeutic approaches to DHS, mainly carried by potassium ions</w:t>
      </w:r>
      <w:r w:rsidR="004B5CD8">
        <w:t xml:space="preserve"> which</w:t>
      </w:r>
      <w:r w:rsidR="002C0757" w:rsidRPr="002C0757">
        <w:t xml:space="preserve"> </w:t>
      </w:r>
      <w:r w:rsidR="004B5CD8">
        <w:t>considered as</w:t>
      </w:r>
      <w:r w:rsidR="002C0757" w:rsidRPr="002C0757">
        <w:t xml:space="preserve"> the most favored material, it is applied in dentifrices containing potassium nitrate which are common, easy to use and accessible</w:t>
      </w:r>
      <w:r w:rsidR="002C0757">
        <w:t xml:space="preserve"> </w:t>
      </w:r>
      <w:r w:rsidR="002C0757" w:rsidRPr="002C0757">
        <w:rPr>
          <w:b/>
          <w:bCs/>
        </w:rPr>
        <w:t xml:space="preserve">(Bamise </w:t>
      </w:r>
      <w:r w:rsidR="004B5CD8">
        <w:rPr>
          <w:b/>
          <w:bCs/>
        </w:rPr>
        <w:t>&amp; Esan</w:t>
      </w:r>
      <w:r w:rsidR="002C0757" w:rsidRPr="002C0757">
        <w:rPr>
          <w:b/>
          <w:bCs/>
        </w:rPr>
        <w:t>, 2011)</w:t>
      </w:r>
      <w:r w:rsidR="002C0757" w:rsidRPr="004B5CD8">
        <w:t>.</w:t>
      </w:r>
      <w:r w:rsidR="002C0757" w:rsidRPr="002C0757">
        <w:t xml:space="preserve"> The mechanism of potassium salts (nitrate, chloride or citrate)</w:t>
      </w:r>
      <w:r w:rsidR="002C0757">
        <w:t xml:space="preserve"> </w:t>
      </w:r>
      <w:r w:rsidR="002C0757" w:rsidRPr="002C0757">
        <w:t>reduce</w:t>
      </w:r>
      <w:r w:rsidR="004B5CD8">
        <w:t xml:space="preserve"> the</w:t>
      </w:r>
      <w:r w:rsidR="002C0757" w:rsidRPr="002C0757">
        <w:t xml:space="preserve"> DH by increasing the extracellular potassium ion level to depolarize the nerve. This ultimately prevents the nerve from repolarizing. This technique reduces DH by diminishing neural transmission from the nerve ending of the odontoblasts in the dentinal tubules</w:t>
      </w:r>
      <w:r w:rsidR="002C0757">
        <w:t xml:space="preserve"> </w:t>
      </w:r>
      <w:r w:rsidR="002C0757" w:rsidRPr="002C0757">
        <w:rPr>
          <w:b/>
          <w:bCs/>
        </w:rPr>
        <w:t xml:space="preserve">(Shiau, </w:t>
      </w:r>
      <w:r w:rsidR="004B5CD8" w:rsidRPr="002C0757">
        <w:rPr>
          <w:b/>
          <w:bCs/>
        </w:rPr>
        <w:t>2012)</w:t>
      </w:r>
      <w:r w:rsidR="004B5CD8">
        <w:t>.</w:t>
      </w:r>
      <w:r w:rsidR="002C0757">
        <w:rPr>
          <w:b/>
          <w:bCs/>
        </w:rPr>
        <w:t xml:space="preserve"> </w:t>
      </w:r>
      <w:r w:rsidR="006B38F0" w:rsidRPr="006B38F0">
        <w:t xml:space="preserve">Although </w:t>
      </w:r>
      <w:r w:rsidR="004B5CD8">
        <w:t xml:space="preserve">it was </w:t>
      </w:r>
      <w:r w:rsidR="006B38F0" w:rsidRPr="006B38F0">
        <w:t xml:space="preserve">widely </w:t>
      </w:r>
      <w:r w:rsidR="004B5CD8" w:rsidRPr="006B38F0">
        <w:t>used,</w:t>
      </w:r>
      <w:r w:rsidR="006B38F0" w:rsidRPr="006B38F0">
        <w:t xml:space="preserve"> it </w:t>
      </w:r>
      <w:r w:rsidR="00D11F08">
        <w:t>ha</w:t>
      </w:r>
      <w:r w:rsidR="006B38F0" w:rsidRPr="006B38F0">
        <w:t xml:space="preserve">s challenging </w:t>
      </w:r>
      <w:r w:rsidR="006B38F0" w:rsidRPr="003374D0">
        <w:t xml:space="preserve">practically as patients use toothpaste twice a day and no sufficient increase in the concentration of potassium ions occurs in saliva in such short time. No strong support was found for using potassium containing dentifrices for managing dentinal hypersensitivity as </w:t>
      </w:r>
      <w:r w:rsidR="00D11F08">
        <w:t>many</w:t>
      </w:r>
      <w:r w:rsidR="006B38F0" w:rsidRPr="003374D0">
        <w:t xml:space="preserve"> studies via meta-analysis indicated </w:t>
      </w:r>
      <w:r w:rsidR="006B38F0" w:rsidRPr="003374D0">
        <w:rPr>
          <w:b/>
          <w:bCs/>
        </w:rPr>
        <w:t>(Poulsen et al., 2006</w:t>
      </w:r>
      <w:r w:rsidR="006B38F0" w:rsidRPr="003374D0">
        <w:t>). Although studies showed no significance of potassium nitrate when used alone, a recent eight weeks randomized control trial concluded that combining potassium nitrate with 10% nanohydroxyapetite in a toothpaste is effective in relieving DHS symptoms when used at least twice daily</w:t>
      </w:r>
      <w:r w:rsidR="006B38F0" w:rsidRPr="003374D0">
        <w:rPr>
          <w:b/>
          <w:bCs/>
        </w:rPr>
        <w:t xml:space="preserve"> (</w:t>
      </w:r>
      <w:r w:rsidR="00497B00" w:rsidRPr="00497B00">
        <w:rPr>
          <w:b/>
          <w:bCs/>
        </w:rPr>
        <w:t>Amaechi</w:t>
      </w:r>
      <w:r w:rsidR="00D11F08">
        <w:rPr>
          <w:b/>
          <w:bCs/>
        </w:rPr>
        <w:t>,</w:t>
      </w:r>
      <w:r w:rsidR="006B38F0" w:rsidRPr="003374D0">
        <w:rPr>
          <w:b/>
          <w:bCs/>
        </w:rPr>
        <w:t xml:space="preserve"> et al., 2021).</w:t>
      </w:r>
    </w:p>
    <w:p w:rsidR="0013038B" w:rsidRPr="00036314" w:rsidRDefault="0013038B" w:rsidP="00D11F08">
      <w:pPr>
        <w:rPr>
          <w:rStyle w:val="Heading1Char"/>
          <w:rFonts w:eastAsiaTheme="minorHAnsi" w:cstheme="minorBidi"/>
          <w:bCs/>
          <w:color w:val="C00000"/>
          <w:sz w:val="28"/>
          <w:szCs w:val="22"/>
        </w:rPr>
      </w:pPr>
      <w:r w:rsidRPr="00036314">
        <w:rPr>
          <w:rStyle w:val="Heading1Char"/>
          <w:color w:val="C00000"/>
        </w:rPr>
        <w:t>Desensitizing Agents that precipitate salivary protein:</w:t>
      </w:r>
    </w:p>
    <w:p w:rsidR="0013038B" w:rsidRPr="00D11F08" w:rsidRDefault="0013038B" w:rsidP="002C0757">
      <w:pPr>
        <w:rPr>
          <w:rFonts w:asciiTheme="minorBidi" w:hAnsiTheme="minorBidi"/>
          <w:b/>
          <w:bCs/>
          <w:szCs w:val="28"/>
        </w:rPr>
      </w:pPr>
      <w:r w:rsidRPr="00D11F08">
        <w:rPr>
          <w:rFonts w:asciiTheme="minorBidi" w:hAnsiTheme="minorBidi"/>
          <w:b/>
          <w:bCs/>
          <w:szCs w:val="28"/>
        </w:rPr>
        <w:t>1</w:t>
      </w:r>
      <w:r w:rsidR="00D11F08">
        <w:rPr>
          <w:rFonts w:asciiTheme="minorBidi" w:hAnsiTheme="minorBidi"/>
          <w:b/>
          <w:bCs/>
          <w:szCs w:val="28"/>
        </w:rPr>
        <w:t>-</w:t>
      </w:r>
      <w:r w:rsidRPr="00D11F08">
        <w:rPr>
          <w:rFonts w:asciiTheme="minorBidi" w:hAnsiTheme="minorBidi"/>
          <w:b/>
          <w:bCs/>
          <w:szCs w:val="28"/>
        </w:rPr>
        <w:t xml:space="preserve"> </w:t>
      </w:r>
      <w:r w:rsidR="00D11F08" w:rsidRPr="00D11F08">
        <w:rPr>
          <w:rFonts w:asciiTheme="minorBidi" w:hAnsiTheme="minorBidi"/>
          <w:b/>
          <w:bCs/>
          <w:szCs w:val="28"/>
        </w:rPr>
        <w:t>Silver</w:t>
      </w:r>
      <w:r w:rsidRPr="00D11F08">
        <w:rPr>
          <w:rFonts w:asciiTheme="minorBidi" w:hAnsiTheme="minorBidi"/>
          <w:b/>
          <w:bCs/>
          <w:szCs w:val="28"/>
        </w:rPr>
        <w:t xml:space="preserve"> nitrate</w:t>
      </w:r>
    </w:p>
    <w:p w:rsidR="0013038B" w:rsidRDefault="0013038B" w:rsidP="008E5C6C">
      <w:r w:rsidRPr="0013038B">
        <w:t>A powerful protein precipitate which cause pulpal damage by coagulation or destroying the dentinal protoplasm, mainly affecting the protein constituent of odontoblastic processes</w:t>
      </w:r>
      <w:r w:rsidRPr="0013038B">
        <w:rPr>
          <w:b/>
          <w:bCs/>
        </w:rPr>
        <w:t xml:space="preserve"> (Burchard, 1898)</w:t>
      </w:r>
      <w:r w:rsidRPr="008E5C6C">
        <w:t>.</w:t>
      </w:r>
      <w:r w:rsidR="00E74627">
        <w:rPr>
          <w:b/>
          <w:bCs/>
        </w:rPr>
        <w:t xml:space="preserve"> </w:t>
      </w:r>
      <w:r w:rsidRPr="0013038B">
        <w:t xml:space="preserve">Silver nitrate is not commonly utilized, according to Markowitz and Kim, because it permanently </w:t>
      </w:r>
      <w:r w:rsidR="008E5C6C">
        <w:t>changes tooth color</w:t>
      </w:r>
      <w:r w:rsidRPr="0013038B">
        <w:rPr>
          <w:b/>
          <w:bCs/>
        </w:rPr>
        <w:t xml:space="preserve"> (Markowitz K and Kim., 1991).</w:t>
      </w:r>
      <w:r w:rsidR="00E74627">
        <w:rPr>
          <w:b/>
          <w:bCs/>
        </w:rPr>
        <w:t xml:space="preserve"> </w:t>
      </w:r>
      <w:r w:rsidR="00152B32" w:rsidRPr="00152B32">
        <w:t xml:space="preserve">Although, silver nitrate is not used nowadays, however, silver particles (the active ingredient) have many applications recently, as an in-vitro study </w:t>
      </w:r>
      <w:r w:rsidR="008E5C6C">
        <w:t>showed</w:t>
      </w:r>
      <w:r w:rsidR="00152B32" w:rsidRPr="00152B32">
        <w:t xml:space="preserve"> the occlusion of dentinal tubules along with silica under electron microscope, without blackening dentin. Furthermore, silver-containing mesoporous bioactive glass with a high specific surf</w:t>
      </w:r>
      <w:r w:rsidR="00E74627">
        <w:t xml:space="preserve">ace area have antibacterial and </w:t>
      </w:r>
      <w:r w:rsidR="00152B32" w:rsidRPr="00152B32">
        <w:t>remineralization abilities, in a study, silver nanoparticles were used to inhibit an S. mutans cultivated environment and reduce the degradation of collagen</w:t>
      </w:r>
      <w:r w:rsidR="00152B32">
        <w:t xml:space="preserve">. </w:t>
      </w:r>
      <w:r w:rsidR="00152B32" w:rsidRPr="00152B32">
        <w:t xml:space="preserve">Er:YAG laser irradiation improved the interaction between bioactive glass and dentin and enabled the formation of an intense crystalline layer, sponsoring the enhancement of mineralization and avoiding daily erosion </w:t>
      </w:r>
      <w:r w:rsidR="00152B32" w:rsidRPr="00152B32">
        <w:rPr>
          <w:b/>
          <w:bCs/>
        </w:rPr>
        <w:t>(Kung et al., 2021)</w:t>
      </w:r>
      <w:r w:rsidR="00152B32" w:rsidRPr="00BE5828">
        <w:t>.</w:t>
      </w:r>
    </w:p>
    <w:p w:rsidR="00BE5828" w:rsidRDefault="00BE5828" w:rsidP="008E5C6C">
      <w:pPr>
        <w:rPr>
          <w:b/>
          <w:bCs/>
        </w:rPr>
      </w:pPr>
    </w:p>
    <w:p w:rsidR="00152B32" w:rsidRPr="008E5C6C" w:rsidRDefault="00152B32" w:rsidP="002C0757">
      <w:pPr>
        <w:rPr>
          <w:rFonts w:asciiTheme="minorBidi" w:hAnsiTheme="minorBidi"/>
          <w:b/>
          <w:bCs/>
          <w:szCs w:val="28"/>
        </w:rPr>
      </w:pPr>
      <w:r w:rsidRPr="008E5C6C">
        <w:rPr>
          <w:rFonts w:asciiTheme="minorBidi" w:hAnsiTheme="minorBidi"/>
          <w:b/>
          <w:bCs/>
          <w:szCs w:val="28"/>
        </w:rPr>
        <w:t>2</w:t>
      </w:r>
      <w:r w:rsidR="008E5C6C">
        <w:rPr>
          <w:rFonts w:asciiTheme="minorBidi" w:hAnsiTheme="minorBidi"/>
          <w:b/>
          <w:bCs/>
          <w:szCs w:val="28"/>
        </w:rPr>
        <w:t>-</w:t>
      </w:r>
      <w:r w:rsidRPr="008E5C6C">
        <w:rPr>
          <w:rFonts w:asciiTheme="minorBidi" w:hAnsiTheme="minorBidi"/>
          <w:b/>
          <w:bCs/>
          <w:szCs w:val="28"/>
        </w:rPr>
        <w:t xml:space="preserve"> Zinc-chloride, potassium-ferrocyanide:</w:t>
      </w:r>
    </w:p>
    <w:p w:rsidR="00152B32" w:rsidRDefault="00373DA1" w:rsidP="008E5C6C">
      <w:pPr>
        <w:rPr>
          <w:b/>
          <w:bCs/>
        </w:rPr>
      </w:pPr>
      <w:r w:rsidRPr="00373DA1">
        <w:t>Gottlieb developed the zinc chloride-potassium ferrocyanide impregnation method for controlling sensitivity due to exposed root surfaces and post-cavity preparation</w:t>
      </w:r>
      <w:r w:rsidRPr="00373DA1">
        <w:rPr>
          <w:b/>
          <w:bCs/>
        </w:rPr>
        <w:t xml:space="preserve"> (Gottlieb, 1948</w:t>
      </w:r>
      <w:r w:rsidRPr="00373DA1">
        <w:t xml:space="preserve">). In this procedure, a 40% solution of aqueous zinc chloride was rubbed onto the surfaces of sensitive teeth and allowed to remain for 1 min, followed by vigorous rubbing with a 20% aqueous potassium ferrocyanide until an orange, curdy crystalline precipitate is formed covering the dentin. </w:t>
      </w:r>
      <w:r w:rsidR="008E5C6C">
        <w:t>T</w:t>
      </w:r>
      <w:r w:rsidRPr="00373DA1">
        <w:t>here are many applications for zinc salts in treating root-DH, as a novel in-vitro study applied nano-technology to produce nano-particle zinc salts incorporated in tooth-paste and has shown that in addition to occlude dentinal tubules, it enhanced the mechanical properties of the residual dental structure, therefore avoiding the loss of hard tissue produced by other toothpastes for non-carious cervical lesions. However, they should be</w:t>
      </w:r>
      <w:r w:rsidRPr="00373DA1">
        <w:rPr>
          <w:b/>
          <w:bCs/>
        </w:rPr>
        <w:t xml:space="preserve"> </w:t>
      </w:r>
      <w:r w:rsidRPr="00373DA1">
        <w:t>considered as a treatment for patients suffering from</w:t>
      </w:r>
      <w:r w:rsidRPr="00373DA1">
        <w:rPr>
          <w:b/>
          <w:bCs/>
        </w:rPr>
        <w:t xml:space="preserve"> </w:t>
      </w:r>
      <w:r w:rsidRPr="00373DA1">
        <w:t>root-DH only after performing clinical experimental studies</w:t>
      </w:r>
      <w:r w:rsidRPr="00373DA1">
        <w:rPr>
          <w:b/>
          <w:bCs/>
        </w:rPr>
        <w:t xml:space="preserve"> (Toledano</w:t>
      </w:r>
      <w:r w:rsidR="008E5C6C">
        <w:rPr>
          <w:b/>
          <w:bCs/>
        </w:rPr>
        <w:t xml:space="preserve"> et</w:t>
      </w:r>
      <w:r w:rsidRPr="00373DA1">
        <w:rPr>
          <w:b/>
          <w:bCs/>
        </w:rPr>
        <w:t xml:space="preserve"> al., 2021).</w:t>
      </w:r>
      <w:r>
        <w:rPr>
          <w:b/>
          <w:bCs/>
        </w:rPr>
        <w:t xml:space="preserve"> </w:t>
      </w:r>
    </w:p>
    <w:p w:rsidR="00373DA1" w:rsidRPr="008E5C6C" w:rsidRDefault="00373DA1" w:rsidP="002C0757">
      <w:pPr>
        <w:rPr>
          <w:rFonts w:asciiTheme="minorBidi" w:hAnsiTheme="minorBidi"/>
          <w:b/>
          <w:bCs/>
          <w:szCs w:val="28"/>
        </w:rPr>
      </w:pPr>
      <w:r w:rsidRPr="008E5C6C">
        <w:rPr>
          <w:rFonts w:asciiTheme="minorBidi" w:hAnsiTheme="minorBidi"/>
          <w:b/>
          <w:bCs/>
          <w:szCs w:val="28"/>
        </w:rPr>
        <w:t>3</w:t>
      </w:r>
      <w:r w:rsidR="008E5C6C">
        <w:rPr>
          <w:rFonts w:asciiTheme="minorBidi" w:hAnsiTheme="minorBidi"/>
          <w:b/>
          <w:bCs/>
          <w:szCs w:val="28"/>
        </w:rPr>
        <w:t>-</w:t>
      </w:r>
      <w:r w:rsidRPr="008E5C6C">
        <w:rPr>
          <w:rFonts w:asciiTheme="minorBidi" w:hAnsiTheme="minorBidi"/>
          <w:b/>
          <w:bCs/>
          <w:szCs w:val="28"/>
        </w:rPr>
        <w:t xml:space="preserve"> Formaldehyde and Glutaraldehyde:</w:t>
      </w:r>
    </w:p>
    <w:p w:rsidR="00D9478D" w:rsidRDefault="00660660" w:rsidP="008E5C6C">
      <w:pPr>
        <w:rPr>
          <w:b/>
          <w:bCs/>
        </w:rPr>
      </w:pPr>
      <w:r w:rsidRPr="00660660">
        <w:t xml:space="preserve">A biological ﬁxatives that causes coagulation of plasma proteins and thus tubular blockage along with signiﬁcant pain relief following topical application to </w:t>
      </w:r>
      <w:r w:rsidR="008E5C6C" w:rsidRPr="00660660">
        <w:t>hypersensitive,</w:t>
      </w:r>
      <w:r w:rsidRPr="00660660">
        <w:t xml:space="preserve"> glutaraldehyde is mainly applied in Gluma Desensitizer which is an aqueous solution of 5% glutaraldehyde (GA) and 35% 2-hydroxyethyl methacrylate (HEMA)</w:t>
      </w:r>
      <w:r w:rsidR="008E5C6C">
        <w:t>.</w:t>
      </w:r>
      <w:r>
        <w:t xml:space="preserve"> </w:t>
      </w:r>
      <w:r w:rsidR="008E5C6C">
        <w:t xml:space="preserve">A </w:t>
      </w:r>
      <w:r w:rsidR="00D9478D" w:rsidRPr="00D9478D">
        <w:t xml:space="preserve">study resulted that application of Gluma </w:t>
      </w:r>
      <w:r w:rsidR="008E5C6C">
        <w:t>showed</w:t>
      </w:r>
      <w:r w:rsidR="008E5C6C" w:rsidRPr="00D9478D">
        <w:t xml:space="preserve"> better</w:t>
      </w:r>
      <w:r w:rsidR="00D9478D" w:rsidRPr="00D9478D">
        <w:t xml:space="preserve"> control in treatment of dentin hypersensitivity when compared to diode </w:t>
      </w:r>
      <w:r w:rsidR="0029512F" w:rsidRPr="00D9478D">
        <w:t>laser</w:t>
      </w:r>
      <w:r w:rsidR="008342D0">
        <w:rPr>
          <w:b/>
          <w:bCs/>
        </w:rPr>
        <w:t xml:space="preserve">. </w:t>
      </w:r>
      <w:r w:rsidR="00D9478D" w:rsidRPr="00D9478D">
        <w:rPr>
          <w:b/>
          <w:bCs/>
        </w:rPr>
        <w:t xml:space="preserve"> </w:t>
      </w:r>
      <w:r w:rsidR="00D9478D" w:rsidRPr="00D9478D">
        <w:t xml:space="preserve">Glutaraldehyde in Gluma desensitizers showed great effectiveness in treating root-DH, however, a study concluded that GA is safe when used alone, yet, when combined with HEMA as in Gluma desensitizer, the product becomes cytotoxic </w:t>
      </w:r>
      <w:r w:rsidR="00D9478D" w:rsidRPr="00D9478D">
        <w:rPr>
          <w:b/>
          <w:bCs/>
        </w:rPr>
        <w:t>(Scheffel et al., 2015)</w:t>
      </w:r>
      <w:r w:rsidR="00D9478D">
        <w:rPr>
          <w:b/>
          <w:bCs/>
        </w:rPr>
        <w:t xml:space="preserve">. </w:t>
      </w:r>
    </w:p>
    <w:p w:rsidR="0013038B" w:rsidRPr="00BE5828" w:rsidRDefault="00185D5B" w:rsidP="00B57098">
      <w:pPr>
        <w:rPr>
          <w:rFonts w:asciiTheme="majorBidi" w:hAnsiTheme="majorBidi" w:cstheme="majorBidi"/>
          <w:b/>
          <w:bCs/>
          <w:color w:val="C00000"/>
          <w:sz w:val="32"/>
          <w:szCs w:val="32"/>
        </w:rPr>
      </w:pPr>
      <w:r w:rsidRPr="00BE5828">
        <w:rPr>
          <w:rFonts w:asciiTheme="minorBidi" w:hAnsiTheme="minorBidi"/>
          <w:b/>
          <w:bCs/>
          <w:color w:val="C00000"/>
          <w:szCs w:val="28"/>
        </w:rPr>
        <w:t xml:space="preserve">Desensitizing Agents\techniques that </w:t>
      </w:r>
      <w:r w:rsidR="00B57098" w:rsidRPr="00BE5828">
        <w:rPr>
          <w:rFonts w:asciiTheme="minorBidi" w:hAnsiTheme="minorBidi"/>
          <w:b/>
          <w:bCs/>
          <w:color w:val="C00000"/>
          <w:szCs w:val="28"/>
        </w:rPr>
        <w:t>precipitate dentin</w:t>
      </w:r>
      <w:r w:rsidRPr="00BE5828">
        <w:rPr>
          <w:rFonts w:asciiTheme="minorBidi" w:hAnsiTheme="minorBidi"/>
          <w:b/>
          <w:bCs/>
          <w:color w:val="C00000"/>
          <w:szCs w:val="28"/>
        </w:rPr>
        <w:t xml:space="preserve"> like minerals:</w:t>
      </w:r>
    </w:p>
    <w:p w:rsidR="00185D5B" w:rsidRPr="008E5C6C" w:rsidRDefault="00185D5B" w:rsidP="002C0757">
      <w:pPr>
        <w:rPr>
          <w:rFonts w:asciiTheme="minorBidi" w:hAnsiTheme="minorBidi"/>
          <w:b/>
          <w:bCs/>
          <w:szCs w:val="28"/>
        </w:rPr>
      </w:pPr>
      <w:r w:rsidRPr="008E5C6C">
        <w:rPr>
          <w:rFonts w:asciiTheme="minorBidi" w:hAnsiTheme="minorBidi"/>
          <w:b/>
          <w:bCs/>
          <w:szCs w:val="28"/>
        </w:rPr>
        <w:t>1</w:t>
      </w:r>
      <w:r w:rsidR="008E5C6C" w:rsidRPr="008E5C6C">
        <w:rPr>
          <w:rFonts w:asciiTheme="minorBidi" w:hAnsiTheme="minorBidi"/>
          <w:b/>
          <w:bCs/>
          <w:szCs w:val="28"/>
        </w:rPr>
        <w:t>-</w:t>
      </w:r>
      <w:r w:rsidRPr="008E5C6C">
        <w:rPr>
          <w:rFonts w:asciiTheme="minorBidi" w:hAnsiTheme="minorBidi"/>
          <w:b/>
          <w:bCs/>
          <w:szCs w:val="28"/>
        </w:rPr>
        <w:t xml:space="preserve"> Fluorides: </w:t>
      </w:r>
    </w:p>
    <w:p w:rsidR="00185D5B" w:rsidRPr="00E74627" w:rsidRDefault="00185D5B" w:rsidP="008E5C6C">
      <w:pPr>
        <w:rPr>
          <w:b/>
          <w:bCs/>
        </w:rPr>
      </w:pPr>
      <w:r w:rsidRPr="00185D5B">
        <w:t>Fluoride ions prevent DH through occlusion of dentinal tubules or blocking of stimuli transmission</w:t>
      </w:r>
      <w:r w:rsidRPr="00185D5B">
        <w:rPr>
          <w:b/>
          <w:bCs/>
        </w:rPr>
        <w:t xml:space="preserve"> (Orchardson </w:t>
      </w:r>
      <w:r w:rsidR="008E5C6C">
        <w:rPr>
          <w:b/>
          <w:bCs/>
        </w:rPr>
        <w:t>&amp;</w:t>
      </w:r>
      <w:r w:rsidRPr="00185D5B">
        <w:rPr>
          <w:b/>
          <w:bCs/>
        </w:rPr>
        <w:t xml:space="preserve"> Gillam, 2006)</w:t>
      </w:r>
      <w:r w:rsidRPr="008E5C6C">
        <w:t>.</w:t>
      </w:r>
      <w:r w:rsidR="00E74627">
        <w:rPr>
          <w:b/>
          <w:bCs/>
        </w:rPr>
        <w:t xml:space="preserve"> </w:t>
      </w:r>
      <w:r w:rsidRPr="00185D5B">
        <w:t>Topical application of 1.23% sodium fluoride reduced sensitivity following bleaching in a randomized controlled clinical trial</w:t>
      </w:r>
      <w:r w:rsidRPr="00185D5B">
        <w:rPr>
          <w:b/>
          <w:bCs/>
        </w:rPr>
        <w:t xml:space="preserve"> (Armenio, et al., 2008)</w:t>
      </w:r>
      <w:r w:rsidRPr="008E5C6C">
        <w:t>.</w:t>
      </w:r>
      <w:r w:rsidRPr="00185D5B">
        <w:rPr>
          <w:b/>
          <w:bCs/>
        </w:rPr>
        <w:t xml:space="preserve"> </w:t>
      </w:r>
      <w:r w:rsidRPr="00185D5B">
        <w:t xml:space="preserve">Another type of fluoridated dentifrices, </w:t>
      </w:r>
      <w:r w:rsidR="008E5C6C">
        <w:t>s</w:t>
      </w:r>
      <w:r w:rsidRPr="00185D5B">
        <w:t xml:space="preserve">tannous fluoride have showed superiority in concentration of 0.45% over 1000 ppm sodium monofluorophosphate in decreasing DH at </w:t>
      </w:r>
      <w:r w:rsidR="008E5C6C">
        <w:t xml:space="preserve">4-8 </w:t>
      </w:r>
      <w:r w:rsidR="00BE5828">
        <w:t>weeks,</w:t>
      </w:r>
      <w:r>
        <w:rPr>
          <w:b/>
          <w:bCs/>
        </w:rPr>
        <w:t xml:space="preserve"> </w:t>
      </w:r>
      <w:r w:rsidRPr="00185D5B">
        <w:t>despite the demonstration of near complete occlusion of dentinal tubules in the anhydrous version of stannous fluoride, it has a major disadvantage as it stains the teeth</w:t>
      </w:r>
      <w:r w:rsidRPr="00185D5B">
        <w:rPr>
          <w:b/>
          <w:bCs/>
        </w:rPr>
        <w:t xml:space="preserve"> (</w:t>
      </w:r>
      <w:r w:rsidR="008E5C6C">
        <w:rPr>
          <w:b/>
          <w:bCs/>
        </w:rPr>
        <w:t>W</w:t>
      </w:r>
      <w:r w:rsidRPr="00185D5B">
        <w:rPr>
          <w:b/>
          <w:bCs/>
        </w:rPr>
        <w:t xml:space="preserve">est, </w:t>
      </w:r>
      <w:r w:rsidR="008E5C6C">
        <w:rPr>
          <w:b/>
          <w:bCs/>
        </w:rPr>
        <w:t xml:space="preserve">et al., </w:t>
      </w:r>
      <w:r w:rsidRPr="00185D5B">
        <w:rPr>
          <w:b/>
          <w:bCs/>
        </w:rPr>
        <w:t xml:space="preserve">2012) </w:t>
      </w:r>
      <w:r w:rsidRPr="00185D5B">
        <w:t>and ceramic materials</w:t>
      </w:r>
      <w:r w:rsidRPr="00185D5B">
        <w:rPr>
          <w:b/>
          <w:bCs/>
        </w:rPr>
        <w:t xml:space="preserve"> (Artopoulou</w:t>
      </w:r>
      <w:r w:rsidR="008E5C6C">
        <w:rPr>
          <w:b/>
          <w:bCs/>
        </w:rPr>
        <w:t>,</w:t>
      </w:r>
      <w:r w:rsidRPr="00185D5B">
        <w:rPr>
          <w:b/>
          <w:bCs/>
        </w:rPr>
        <w:t xml:space="preserve"> et al., 2010)</w:t>
      </w:r>
      <w:r w:rsidRPr="008E5C6C">
        <w:t>,</w:t>
      </w:r>
      <w:r w:rsidRPr="00185D5B">
        <w:rPr>
          <w:b/>
          <w:bCs/>
        </w:rPr>
        <w:t xml:space="preserve"> </w:t>
      </w:r>
      <w:r w:rsidRPr="00185D5B">
        <w:t>in addition for taking long onset to be effective.</w:t>
      </w:r>
    </w:p>
    <w:p w:rsidR="00185D5B" w:rsidRPr="0091292C" w:rsidRDefault="00185D5B" w:rsidP="002C0757">
      <w:pPr>
        <w:rPr>
          <w:rFonts w:asciiTheme="minorBidi" w:hAnsiTheme="minorBidi"/>
          <w:b/>
          <w:bCs/>
          <w:szCs w:val="28"/>
        </w:rPr>
      </w:pPr>
      <w:r w:rsidRPr="0091292C">
        <w:rPr>
          <w:rFonts w:asciiTheme="minorBidi" w:hAnsiTheme="minorBidi"/>
          <w:b/>
          <w:bCs/>
          <w:szCs w:val="28"/>
        </w:rPr>
        <w:t>2</w:t>
      </w:r>
      <w:r w:rsidR="0091292C">
        <w:rPr>
          <w:rFonts w:asciiTheme="minorBidi" w:hAnsiTheme="minorBidi"/>
          <w:b/>
          <w:bCs/>
          <w:szCs w:val="28"/>
        </w:rPr>
        <w:t>-</w:t>
      </w:r>
      <w:r w:rsidRPr="0091292C">
        <w:rPr>
          <w:rFonts w:asciiTheme="minorBidi" w:hAnsiTheme="minorBidi"/>
          <w:b/>
          <w:bCs/>
          <w:szCs w:val="28"/>
        </w:rPr>
        <w:t xml:space="preserve"> Varnishes: </w:t>
      </w:r>
    </w:p>
    <w:p w:rsidR="00185D5B" w:rsidRDefault="008343AE" w:rsidP="006A33B2">
      <w:r>
        <w:t xml:space="preserve">   </w:t>
      </w:r>
      <w:r w:rsidR="00E74627" w:rsidRPr="00185D5B">
        <w:t>Fluoride</w:t>
      </w:r>
      <w:r w:rsidR="00185D5B" w:rsidRPr="00185D5B">
        <w:t xml:space="preserve"> varnish is a more concentrated form of </w:t>
      </w:r>
      <w:r w:rsidR="00E74627" w:rsidRPr="00185D5B">
        <w:t>fluoride that</w:t>
      </w:r>
      <w:r w:rsidR="00185D5B" w:rsidRPr="00185D5B">
        <w:t xml:space="preserve"> is not a permanent layer as it stays on a patient's teeth for several hours, allowing the fluoride to seep into and strengthen the teeth. It appeared with the most successful results of fluoride treatment methods; it can be accredited to the amplified retentiveness of the varnished surfaces compared with other procedure of fluoride treatment. A recent study showed disappointing results when using fluoride varnish in combination with other products as proven by A randomized, double-blind, placebo-controlled clinical study for determining the efficacy of a calcium-phosphate/fluoride varnish and ionomeric sealant on cervical dentin hypersensitivity which resulted in that Ca/PO</w:t>
      </w:r>
      <w:r w:rsidR="00185D5B" w:rsidRPr="0091292C">
        <w:rPr>
          <w:vertAlign w:val="superscript"/>
        </w:rPr>
        <w:t>4−</w:t>
      </w:r>
      <w:r w:rsidR="00185D5B" w:rsidRPr="00185D5B">
        <w:t>/F</w:t>
      </w:r>
      <w:r w:rsidR="00185D5B" w:rsidRPr="0091292C">
        <w:rPr>
          <w:vertAlign w:val="superscript"/>
        </w:rPr>
        <w:t>−</w:t>
      </w:r>
      <w:r w:rsidR="00185D5B" w:rsidRPr="00185D5B">
        <w:t xml:space="preserve"> varnish did not differ from placebo in reducing DH</w:t>
      </w:r>
      <w:r w:rsidR="00185D5B">
        <w:rPr>
          <w:b/>
          <w:bCs/>
        </w:rPr>
        <w:t xml:space="preserve"> (Machado et al., 2022) </w:t>
      </w:r>
      <w:r w:rsidR="005A37C8" w:rsidRPr="005A37C8">
        <w:t>whilst another split-mouth randomized double-blind clinical trial for long-term effectiveness of treating dentin hypersensitivity with fluoride varnish known as bifluoride 10</w:t>
      </w:r>
      <w:r w:rsidR="005A37C8">
        <w:t xml:space="preserve"> </w:t>
      </w:r>
      <w:r w:rsidR="005A37C8" w:rsidRPr="005A37C8">
        <w:t>and  adhesive known as futurabond which is a single dose dual curing universal adhesive has concluded that fluoride varnish is as effective as dental adhesi</w:t>
      </w:r>
      <w:r w:rsidR="006A33B2">
        <w:t>ves (futurabond) in treating DH</w:t>
      </w:r>
      <w:r w:rsidR="005A37C8" w:rsidRPr="005A37C8">
        <w:t>.</w:t>
      </w:r>
    </w:p>
    <w:p w:rsidR="001F45D1" w:rsidRPr="006A33B2" w:rsidRDefault="006A33B2" w:rsidP="001F45D1">
      <w:pPr>
        <w:rPr>
          <w:rFonts w:asciiTheme="minorBidi" w:hAnsiTheme="minorBidi"/>
          <w:szCs w:val="28"/>
        </w:rPr>
      </w:pPr>
      <w:r w:rsidRPr="006A33B2">
        <w:rPr>
          <w:rFonts w:asciiTheme="minorBidi" w:hAnsiTheme="minorBidi"/>
          <w:b/>
          <w:bCs/>
          <w:szCs w:val="28"/>
        </w:rPr>
        <w:t>3-</w:t>
      </w:r>
      <w:r w:rsidR="00812999" w:rsidRPr="006A33B2">
        <w:rPr>
          <w:rFonts w:asciiTheme="minorBidi" w:hAnsiTheme="minorBidi"/>
          <w:b/>
          <w:bCs/>
          <w:szCs w:val="28"/>
        </w:rPr>
        <w:t xml:space="preserve"> </w:t>
      </w:r>
      <w:r w:rsidRPr="006A33B2">
        <w:rPr>
          <w:rFonts w:asciiTheme="minorBidi" w:hAnsiTheme="minorBidi"/>
          <w:b/>
          <w:bCs/>
          <w:szCs w:val="28"/>
        </w:rPr>
        <w:t>Strontium</w:t>
      </w:r>
      <w:r w:rsidR="00812999" w:rsidRPr="006A33B2">
        <w:rPr>
          <w:rFonts w:asciiTheme="minorBidi" w:hAnsiTheme="minorBidi"/>
          <w:b/>
          <w:bCs/>
          <w:szCs w:val="28"/>
        </w:rPr>
        <w:t xml:space="preserve"> salts: </w:t>
      </w:r>
    </w:p>
    <w:p w:rsidR="00191547" w:rsidRPr="00BE5828" w:rsidRDefault="001F45D1" w:rsidP="00BE5828">
      <w:pPr>
        <w:rPr>
          <w:b/>
          <w:bCs/>
          <w:lang w:bidi="ar-IQ"/>
        </w:rPr>
      </w:pPr>
      <w:r w:rsidRPr="001F45D1">
        <w:t>Strontium salt has been known to reduce DH by utilizing its insoluble metal compound to occlude the dentinal tubules</w:t>
      </w:r>
      <w:r>
        <w:t xml:space="preserve"> </w:t>
      </w:r>
      <w:r w:rsidRPr="001F45D1">
        <w:rPr>
          <w:b/>
          <w:bCs/>
        </w:rPr>
        <w:t>(Shiau, 2012)</w:t>
      </w:r>
      <w:r w:rsidR="006A33B2">
        <w:t>.</w:t>
      </w:r>
      <w:r>
        <w:rPr>
          <w:b/>
          <w:bCs/>
        </w:rPr>
        <w:t xml:space="preserve"> </w:t>
      </w:r>
      <w:r w:rsidRPr="001F45D1">
        <w:t>Some studies have</w:t>
      </w:r>
      <w:r w:rsidRPr="001F45D1">
        <w:rPr>
          <w:b/>
          <w:bCs/>
        </w:rPr>
        <w:t xml:space="preserve"> </w:t>
      </w:r>
      <w:r w:rsidRPr="001F45D1">
        <w:t>reported no clinical efficiency from strontium</w:t>
      </w:r>
      <w:r w:rsidR="004C2862">
        <w:rPr>
          <w:b/>
          <w:bCs/>
        </w:rPr>
        <w:t xml:space="preserve"> (</w:t>
      </w:r>
      <w:r w:rsidR="006A33B2">
        <w:rPr>
          <w:b/>
          <w:bCs/>
        </w:rPr>
        <w:t>C</w:t>
      </w:r>
      <w:r w:rsidRPr="001F45D1">
        <w:rPr>
          <w:b/>
          <w:bCs/>
        </w:rPr>
        <w:t>ummins, 2010)</w:t>
      </w:r>
      <w:r w:rsidRPr="006A33B2">
        <w:t>,</w:t>
      </w:r>
      <w:r w:rsidRPr="001F45D1">
        <w:t xml:space="preserve"> although </w:t>
      </w:r>
      <w:r w:rsidR="006A33B2" w:rsidRPr="001F45D1">
        <w:t>several</w:t>
      </w:r>
      <w:r w:rsidRPr="001F45D1">
        <w:t xml:space="preserve"> in vitro studies have proven the efficiency of strontium-containing toothpastes Sensodyne Original and Sensodyne Rapid Relief (</w:t>
      </w:r>
      <w:r w:rsidRPr="006A33B2">
        <w:t>GlaxoSmithKline, Weybridge, UK)</w:t>
      </w:r>
      <w:r w:rsidRPr="001F45D1">
        <w:t xml:space="preserve"> are available dentifrices that contain 8% strontium acetate in a silica base. Strontium might replace calcium ions within the hydroxyapatite and therefore strengthen the dentin</w:t>
      </w:r>
      <w:r>
        <w:t xml:space="preserve"> </w:t>
      </w:r>
      <w:r w:rsidRPr="001F45D1">
        <w:rPr>
          <w:b/>
          <w:bCs/>
        </w:rPr>
        <w:t xml:space="preserve">(Banfield </w:t>
      </w:r>
      <w:r w:rsidR="006A33B2">
        <w:rPr>
          <w:b/>
          <w:bCs/>
        </w:rPr>
        <w:t>&amp;</w:t>
      </w:r>
      <w:r w:rsidRPr="001F45D1">
        <w:rPr>
          <w:b/>
          <w:bCs/>
        </w:rPr>
        <w:t xml:space="preserve"> Addy, 2004)</w:t>
      </w:r>
      <w:r>
        <w:rPr>
          <w:b/>
          <w:bCs/>
        </w:rPr>
        <w:t xml:space="preserve"> </w:t>
      </w:r>
      <w:r w:rsidRPr="001F45D1">
        <w:t>is effective for pain relief in one minute after application in affected teeth, but still inferior to pro-arginine</w:t>
      </w:r>
      <w:r w:rsidR="00191547">
        <w:rPr>
          <w:b/>
          <w:bCs/>
        </w:rPr>
        <w:t xml:space="preserve">. </w:t>
      </w:r>
      <w:r w:rsidR="00041506" w:rsidRPr="00041506">
        <w:t>Moreover, a combination of strontium and bioactive glass showed promising results keeping the decrease of hydraulic conductance about 90%, even after brushing</w:t>
      </w:r>
      <w:r w:rsidR="00041506" w:rsidRPr="00041506">
        <w:rPr>
          <w:b/>
          <w:bCs/>
        </w:rPr>
        <w:t xml:space="preserve"> </w:t>
      </w:r>
      <w:r w:rsidR="00191547" w:rsidRPr="001F45D1">
        <w:rPr>
          <w:b/>
          <w:bCs/>
        </w:rPr>
        <w:t>(Arshad et al.,</w:t>
      </w:r>
      <w:r w:rsidR="00191547">
        <w:rPr>
          <w:b/>
          <w:bCs/>
        </w:rPr>
        <w:t xml:space="preserve"> </w:t>
      </w:r>
      <w:r w:rsidR="00191547" w:rsidRPr="001F45D1">
        <w:rPr>
          <w:b/>
          <w:bCs/>
        </w:rPr>
        <w:t>2021)</w:t>
      </w:r>
      <w:r w:rsidR="00191547" w:rsidRPr="006A33B2">
        <w:t>.</w:t>
      </w:r>
    </w:p>
    <w:p w:rsidR="00041506" w:rsidRPr="006A33B2" w:rsidRDefault="00785352" w:rsidP="006A33B2">
      <w:pPr>
        <w:rPr>
          <w:rFonts w:asciiTheme="minorBidi" w:hAnsiTheme="minorBidi"/>
          <w:b/>
          <w:bCs/>
          <w:szCs w:val="28"/>
        </w:rPr>
      </w:pPr>
      <w:r w:rsidRPr="006A33B2">
        <w:rPr>
          <w:rFonts w:asciiTheme="minorBidi" w:hAnsiTheme="minorBidi"/>
          <w:b/>
          <w:bCs/>
          <w:szCs w:val="28"/>
        </w:rPr>
        <w:t>4</w:t>
      </w:r>
      <w:r w:rsidR="006A33B2" w:rsidRPr="006A33B2">
        <w:rPr>
          <w:rFonts w:asciiTheme="minorBidi" w:hAnsiTheme="minorBidi"/>
          <w:b/>
          <w:bCs/>
          <w:szCs w:val="28"/>
        </w:rPr>
        <w:t>-</w:t>
      </w:r>
      <w:r w:rsidRPr="006A33B2">
        <w:rPr>
          <w:rFonts w:asciiTheme="minorBidi" w:hAnsiTheme="minorBidi"/>
          <w:b/>
          <w:bCs/>
          <w:szCs w:val="28"/>
        </w:rPr>
        <w:t xml:space="preserve"> Oxalates: </w:t>
      </w:r>
    </w:p>
    <w:p w:rsidR="00785352" w:rsidRDefault="006A33B2" w:rsidP="006A33B2">
      <w:pPr>
        <w:rPr>
          <w:rFonts w:asciiTheme="majorBidi" w:hAnsiTheme="majorBidi" w:cstheme="majorBidi"/>
          <w:szCs w:val="28"/>
        </w:rPr>
      </w:pPr>
      <w:r w:rsidRPr="006A33B2">
        <w:t>Oxalate</w:t>
      </w:r>
      <w:r w:rsidR="00785352" w:rsidRPr="006A33B2">
        <w:t xml:space="preserve"> products are moderately insoluble in acid which make them more resistant to dissolution </w:t>
      </w:r>
      <w:r w:rsidR="00B27B98">
        <w:rPr>
          <w:b/>
          <w:bCs/>
        </w:rPr>
        <w:t>(Pereira et al, 2005</w:t>
      </w:r>
      <w:r w:rsidR="00785352" w:rsidRPr="006A33B2">
        <w:rPr>
          <w:b/>
          <w:bCs/>
        </w:rPr>
        <w:t>)</w:t>
      </w:r>
      <w:r w:rsidR="00785352" w:rsidRPr="006A33B2">
        <w:t xml:space="preserve">. It was first introduced in the late 1970s and confirmed a decrease in hydraulic conductance in the dentinal tubules </w:t>
      </w:r>
      <w:r w:rsidR="00785352" w:rsidRPr="006A33B2">
        <w:rPr>
          <w:b/>
          <w:bCs/>
        </w:rPr>
        <w:t xml:space="preserve">(Pashley </w:t>
      </w:r>
      <w:r w:rsidRPr="006A33B2">
        <w:rPr>
          <w:b/>
          <w:bCs/>
        </w:rPr>
        <w:t>&amp;</w:t>
      </w:r>
      <w:r w:rsidR="00785352" w:rsidRPr="006A33B2">
        <w:rPr>
          <w:b/>
          <w:bCs/>
        </w:rPr>
        <w:t xml:space="preserve"> Galloway, 1985)</w:t>
      </w:r>
      <w:r w:rsidR="00785352" w:rsidRPr="006A33B2">
        <w:t>. Oxalates except 3% monohydrogen monopotassium oxalate, has not been proven to be more effective in treating DH than placebos</w:t>
      </w:r>
      <w:r>
        <w:t xml:space="preserve"> as systematic review concluded</w:t>
      </w:r>
      <w:r w:rsidR="00785352" w:rsidRPr="006A33B2">
        <w:t xml:space="preserve"> </w:t>
      </w:r>
      <w:r w:rsidR="00785352" w:rsidRPr="006A33B2">
        <w:rPr>
          <w:b/>
          <w:bCs/>
        </w:rPr>
        <w:t>(Cunha-Cruz, et al., 2011)</w:t>
      </w:r>
      <w:r w:rsidRPr="006A33B2">
        <w:t>.</w:t>
      </w:r>
      <w:r w:rsidR="00785352" w:rsidRPr="006A33B2">
        <w:t xml:space="preserve"> </w:t>
      </w:r>
      <w:r>
        <w:t>O</w:t>
      </w:r>
      <w:r w:rsidR="00785352" w:rsidRPr="006A33B2">
        <w:t xml:space="preserve">xalate solutions have also been shown to be inferior to sodium chloride solutions in reducing DH </w:t>
      </w:r>
      <w:r w:rsidR="00785352" w:rsidRPr="006A33B2">
        <w:rPr>
          <w:b/>
          <w:bCs/>
        </w:rPr>
        <w:t>(Cuenin, et al., 1991)</w:t>
      </w:r>
      <w:r w:rsidR="00785352" w:rsidRPr="006A33B2">
        <w:t xml:space="preserve">, gel form of potassium oxalate was investigated as in-vitro study showed great potential for tubule occlusion </w:t>
      </w:r>
      <w:r w:rsidR="00785352" w:rsidRPr="006A33B2">
        <w:rPr>
          <w:b/>
          <w:bCs/>
        </w:rPr>
        <w:t>(Pereira et al., 2005)</w:t>
      </w:r>
      <w:r w:rsidRPr="006A33B2">
        <w:t>.</w:t>
      </w:r>
      <w:r w:rsidR="00785352" w:rsidRPr="006A33B2">
        <w:t xml:space="preserve"> </w:t>
      </w:r>
    </w:p>
    <w:p w:rsidR="00785352" w:rsidRPr="006A33B2" w:rsidRDefault="00785352" w:rsidP="006A33B2">
      <w:pPr>
        <w:rPr>
          <w:rFonts w:asciiTheme="minorBidi" w:hAnsiTheme="minorBidi"/>
          <w:b/>
          <w:bCs/>
          <w:szCs w:val="28"/>
        </w:rPr>
      </w:pPr>
      <w:r w:rsidRPr="006A33B2">
        <w:rPr>
          <w:rFonts w:asciiTheme="minorBidi" w:hAnsiTheme="minorBidi"/>
          <w:b/>
          <w:bCs/>
          <w:szCs w:val="28"/>
        </w:rPr>
        <w:t>5</w:t>
      </w:r>
      <w:r w:rsidR="006A33B2" w:rsidRPr="006A33B2">
        <w:rPr>
          <w:rFonts w:asciiTheme="minorBidi" w:hAnsiTheme="minorBidi"/>
          <w:b/>
          <w:bCs/>
          <w:szCs w:val="28"/>
        </w:rPr>
        <w:t>-</w:t>
      </w:r>
      <w:r w:rsidRPr="006A33B2">
        <w:rPr>
          <w:rFonts w:asciiTheme="minorBidi" w:hAnsiTheme="minorBidi"/>
          <w:b/>
          <w:bCs/>
          <w:szCs w:val="28"/>
        </w:rPr>
        <w:t xml:space="preserve"> </w:t>
      </w:r>
      <w:r w:rsidR="006A33B2" w:rsidRPr="006A33B2">
        <w:rPr>
          <w:rFonts w:asciiTheme="minorBidi" w:hAnsiTheme="minorBidi"/>
          <w:b/>
          <w:bCs/>
          <w:szCs w:val="28"/>
        </w:rPr>
        <w:t>Hydroxyapatites</w:t>
      </w:r>
      <w:r w:rsidR="006A33B2">
        <w:rPr>
          <w:rFonts w:asciiTheme="minorBidi" w:hAnsiTheme="minorBidi"/>
          <w:b/>
          <w:bCs/>
          <w:szCs w:val="28"/>
        </w:rPr>
        <w:t xml:space="preserve"> (HAp)</w:t>
      </w:r>
      <w:r w:rsidRPr="006A33B2">
        <w:rPr>
          <w:rFonts w:asciiTheme="minorBidi" w:hAnsiTheme="minorBidi"/>
          <w:b/>
          <w:bCs/>
          <w:szCs w:val="28"/>
        </w:rPr>
        <w:t xml:space="preserve">: </w:t>
      </w:r>
    </w:p>
    <w:p w:rsidR="00785352" w:rsidRDefault="00BE5828" w:rsidP="006A33B2">
      <w:r w:rsidRPr="00785352">
        <w:t>Hydroxyapatite</w:t>
      </w:r>
      <w:r w:rsidR="00785352" w:rsidRPr="00785352">
        <w:t xml:space="preserve"> is the most stable calcium phosphate compound under physiological conditions as temperature, pH and body fluids</w:t>
      </w:r>
      <w:r w:rsidR="00785352" w:rsidRPr="006A33B2">
        <w:t>,</w:t>
      </w:r>
      <w:r w:rsidR="00785352" w:rsidRPr="00785352">
        <w:rPr>
          <w:b/>
          <w:bCs/>
        </w:rPr>
        <w:t xml:space="preserve"> </w:t>
      </w:r>
      <w:r w:rsidR="00785352" w:rsidRPr="00785352">
        <w:t>it has biocompatible and biomimetic properties and able to reduce hypersensitivity along with enhanced remineralization</w:t>
      </w:r>
      <w:r w:rsidR="00785352" w:rsidRPr="006A33B2">
        <w:t>.</w:t>
      </w:r>
      <w:r w:rsidR="00785352">
        <w:rPr>
          <w:b/>
          <w:bCs/>
        </w:rPr>
        <w:t xml:space="preserve"> </w:t>
      </w:r>
      <w:r w:rsidR="00785352" w:rsidRPr="00785352">
        <w:t>Effectiveness of synthetic HA in relieving root-DH is well documented in numerous clinical trials</w:t>
      </w:r>
      <w:r w:rsidR="00AD12FF">
        <w:rPr>
          <w:b/>
          <w:bCs/>
        </w:rPr>
        <w:t xml:space="preserve"> </w:t>
      </w:r>
      <w:r w:rsidR="00AD12FF" w:rsidRPr="00785352">
        <w:rPr>
          <w:b/>
          <w:bCs/>
        </w:rPr>
        <w:t>(Kalita et al., 2007</w:t>
      </w:r>
      <w:r w:rsidR="00AD12FF">
        <w:rPr>
          <w:b/>
          <w:bCs/>
        </w:rPr>
        <w:t>)</w:t>
      </w:r>
      <w:r w:rsidR="00785352" w:rsidRPr="006A33B2">
        <w:t xml:space="preserve">. </w:t>
      </w:r>
      <w:r w:rsidR="00785352" w:rsidRPr="00785352">
        <w:t>HA</w:t>
      </w:r>
      <w:r w:rsidR="006A33B2">
        <w:t>p</w:t>
      </w:r>
      <w:r w:rsidR="00785352" w:rsidRPr="00785352">
        <w:t xml:space="preserve"> is used alone or as synergistic agent in oral care products. </w:t>
      </w:r>
      <w:r w:rsidR="006A33B2">
        <w:t>It</w:t>
      </w:r>
      <w:r w:rsidR="00785352" w:rsidRPr="00785352">
        <w:t xml:space="preserve"> was successfully applied through the use of nano technology which enhanced its effect through small sized particles 200-400nm. Nano-HAP is able to occlude dentinal tubules, a randomized control trial showed that 20% nano-HAP dental cream is an effective method to promote the relief of DHS symptoms when applied daily</w:t>
      </w:r>
      <w:r w:rsidR="00785352" w:rsidRPr="00785352">
        <w:rPr>
          <w:b/>
          <w:bCs/>
        </w:rPr>
        <w:t xml:space="preserve"> (Amaechi et al., 2018)</w:t>
      </w:r>
      <w:r w:rsidR="006A33B2">
        <w:rPr>
          <w:b/>
          <w:bCs/>
        </w:rPr>
        <w:t>.</w:t>
      </w:r>
      <w:r w:rsidR="00785352">
        <w:rPr>
          <w:b/>
          <w:bCs/>
        </w:rPr>
        <w:t xml:space="preserve"> </w:t>
      </w:r>
      <w:r w:rsidR="00785352" w:rsidRPr="00785352">
        <w:t>Another study comparing four groups according to the composition of desensitizing toothpaste: strontium acetate and calcium carbonate; calcium carbonate and arginine 8%, calcium phosphate nanoparticles; and a control toothpaste, resulted that the only immediate relief effect was from the paste containing calcium phosphate nanoparticles in the form of hydroxyapatite</w:t>
      </w:r>
      <w:r w:rsidR="00785352" w:rsidRPr="00785352">
        <w:rPr>
          <w:b/>
          <w:bCs/>
        </w:rPr>
        <w:t xml:space="preserve"> (</w:t>
      </w:r>
      <w:r w:rsidR="00070D5D">
        <w:rPr>
          <w:b/>
          <w:bCs/>
        </w:rPr>
        <w:t>Douglas de Oliveira et al., 2018</w:t>
      </w:r>
      <w:r w:rsidR="00785352" w:rsidRPr="00785352">
        <w:rPr>
          <w:b/>
          <w:bCs/>
        </w:rPr>
        <w:t>)</w:t>
      </w:r>
      <w:r w:rsidR="00785352" w:rsidRPr="006A33B2">
        <w:t xml:space="preserve">. </w:t>
      </w:r>
    </w:p>
    <w:p w:rsidR="00FD6FC6" w:rsidRDefault="00FD6FC6" w:rsidP="006A33B2"/>
    <w:p w:rsidR="00BE5828" w:rsidRDefault="00BE5828" w:rsidP="006A33B2">
      <w:pPr>
        <w:rPr>
          <w:b/>
          <w:bCs/>
        </w:rPr>
      </w:pPr>
    </w:p>
    <w:p w:rsidR="00785352" w:rsidRPr="006A33B2" w:rsidRDefault="00706A92" w:rsidP="001F45D1">
      <w:pPr>
        <w:rPr>
          <w:rFonts w:asciiTheme="minorBidi" w:hAnsiTheme="minorBidi"/>
          <w:b/>
          <w:bCs/>
          <w:szCs w:val="28"/>
        </w:rPr>
      </w:pPr>
      <w:r w:rsidRPr="006A33B2">
        <w:rPr>
          <w:rFonts w:asciiTheme="minorBidi" w:hAnsiTheme="minorBidi"/>
          <w:b/>
          <w:bCs/>
          <w:szCs w:val="28"/>
        </w:rPr>
        <w:t>6</w:t>
      </w:r>
      <w:r w:rsidR="006A33B2" w:rsidRPr="006A33B2">
        <w:rPr>
          <w:rFonts w:asciiTheme="minorBidi" w:hAnsiTheme="minorBidi"/>
          <w:b/>
          <w:bCs/>
          <w:szCs w:val="28"/>
        </w:rPr>
        <w:t>-</w:t>
      </w:r>
      <w:r w:rsidRPr="006A33B2">
        <w:rPr>
          <w:rFonts w:asciiTheme="minorBidi" w:hAnsiTheme="minorBidi"/>
          <w:b/>
          <w:bCs/>
          <w:szCs w:val="28"/>
        </w:rPr>
        <w:t xml:space="preserve"> Pro-arginine technology: </w:t>
      </w:r>
    </w:p>
    <w:p w:rsidR="00706A92" w:rsidRDefault="00706A92" w:rsidP="001D09CB">
      <w:pPr>
        <w:rPr>
          <w:b/>
          <w:bCs/>
        </w:rPr>
      </w:pPr>
      <w:r w:rsidRPr="00706A92">
        <w:t xml:space="preserve">This technology is based on the interaction between Arginine, an amino acid positively charged at physiologic pH (6.5-7.5), Bicarbonate, a pH buffer, and insoluble </w:t>
      </w:r>
      <w:r w:rsidR="006A33B2">
        <w:t>c</w:t>
      </w:r>
      <w:r w:rsidRPr="00706A92">
        <w:t xml:space="preserve">alcium carbonate, a source of calcium </w:t>
      </w:r>
      <w:r w:rsidRPr="00706A92">
        <w:rPr>
          <w:b/>
          <w:bCs/>
        </w:rPr>
        <w:t>(Panagakos et al., 2009)</w:t>
      </w:r>
      <w:r w:rsidRPr="00706A92">
        <w:t xml:space="preserve"> which infiltrates and blocks the dentinal tubules and prevent dentinal fluid flow, thus reducing dentin hypersensitivity. Usually, the effect lasts for a minimum of 28 days </w:t>
      </w:r>
      <w:r w:rsidRPr="00706A92">
        <w:rPr>
          <w:b/>
          <w:bCs/>
        </w:rPr>
        <w:t>(Cummins, 2010)</w:t>
      </w:r>
      <w:r w:rsidRPr="001D09CB">
        <w:t>.</w:t>
      </w:r>
      <w:r w:rsidRPr="00706A92">
        <w:t xml:space="preserve"> A recent randomized controlled trial concluded that dentifrices with Pro-arginine™ are effective for immediate pain relief from DH </w:t>
      </w:r>
      <w:r w:rsidRPr="00706A92">
        <w:rPr>
          <w:b/>
          <w:bCs/>
        </w:rPr>
        <w:t>(Arshad et al., 2021)</w:t>
      </w:r>
      <w:r w:rsidR="005B237E">
        <w:t>.</w:t>
      </w:r>
      <w:r w:rsidRPr="00706A92">
        <w:t xml:space="preserve"> </w:t>
      </w:r>
      <w:r w:rsidR="00BE5828" w:rsidRPr="00706A92">
        <w:t>However</w:t>
      </w:r>
      <w:r w:rsidR="00BE5828">
        <w:t>,</w:t>
      </w:r>
      <w:r w:rsidRPr="00706A92">
        <w:t xml:space="preserve"> another study </w:t>
      </w:r>
      <w:r w:rsidRPr="001D09CB">
        <w:rPr>
          <w:b/>
          <w:bCs/>
        </w:rPr>
        <w:t>(Berg et al., 2021)</w:t>
      </w:r>
      <w:r w:rsidR="001D09CB">
        <w:rPr>
          <w:b/>
          <w:bCs/>
        </w:rPr>
        <w:t xml:space="preserve"> </w:t>
      </w:r>
      <w:r w:rsidRPr="00706A92">
        <w:t xml:space="preserve">comparing tubular occlusion by various treatments </w:t>
      </w:r>
      <w:r>
        <w:t>showed that</w:t>
      </w:r>
      <w:r w:rsidRPr="00706A92">
        <w:t xml:space="preserve"> arginine containing products are inferior to </w:t>
      </w:r>
      <w:r w:rsidR="001D09CB">
        <w:t>m</w:t>
      </w:r>
      <w:r w:rsidRPr="00706A92">
        <w:t>agnesium stabilized amorphous calcium phosphate</w:t>
      </w:r>
      <w:r w:rsidR="001D09CB">
        <w:t>-</w:t>
      </w:r>
      <w:r w:rsidRPr="00706A92">
        <w:t>ACMP containing product in formation of a mineralized layer occluding exposed dentin tubules, and inferior to Bio-glass and Stannous fluoride in the resistance toward acid attacks</w:t>
      </w:r>
      <w:r w:rsidRPr="00706A92">
        <w:rPr>
          <w:b/>
          <w:bCs/>
        </w:rPr>
        <w:t>.</w:t>
      </w:r>
    </w:p>
    <w:p w:rsidR="00706A92" w:rsidRPr="001D09CB" w:rsidRDefault="00706A92" w:rsidP="001F45D1">
      <w:pPr>
        <w:rPr>
          <w:rFonts w:asciiTheme="minorBidi" w:hAnsiTheme="minorBidi"/>
          <w:b/>
          <w:bCs/>
          <w:szCs w:val="28"/>
        </w:rPr>
      </w:pPr>
      <w:r w:rsidRPr="001D09CB">
        <w:rPr>
          <w:rFonts w:asciiTheme="minorBidi" w:hAnsiTheme="minorBidi"/>
          <w:b/>
          <w:bCs/>
          <w:szCs w:val="28"/>
        </w:rPr>
        <w:t>7</w:t>
      </w:r>
      <w:r w:rsidR="001D09CB" w:rsidRPr="001D09CB">
        <w:rPr>
          <w:rFonts w:asciiTheme="minorBidi" w:hAnsiTheme="minorBidi"/>
          <w:b/>
          <w:bCs/>
          <w:szCs w:val="28"/>
        </w:rPr>
        <w:t>-</w:t>
      </w:r>
      <w:r w:rsidRPr="001D09CB">
        <w:rPr>
          <w:rFonts w:asciiTheme="minorBidi" w:hAnsiTheme="minorBidi"/>
          <w:b/>
          <w:bCs/>
          <w:szCs w:val="28"/>
        </w:rPr>
        <w:t xml:space="preserve"> Iontophoresis: </w:t>
      </w:r>
    </w:p>
    <w:p w:rsidR="00706A92" w:rsidRDefault="001D09CB" w:rsidP="001D09CB">
      <w:pPr>
        <w:rPr>
          <w:b/>
          <w:bCs/>
        </w:rPr>
      </w:pPr>
      <w:r>
        <w:t>The u</w:t>
      </w:r>
      <w:r w:rsidR="00706A92">
        <w:t xml:space="preserve">se </w:t>
      </w:r>
      <w:r w:rsidR="00706A92" w:rsidRPr="00706A92">
        <w:t>of an electric potential to transfer ions into the body for therapeutic purposes, where a chemical substance is applied on the tooth surface and current is passed through negative electrode using 0.5 mA current. The chemicals used are fluoride, oxalates, etc. This process increase</w:t>
      </w:r>
      <w:r>
        <w:t>s</w:t>
      </w:r>
      <w:r w:rsidR="00706A92" w:rsidRPr="00706A92">
        <w:t xml:space="preserve"> the impregnation of the chemical by 2 to 6 times </w:t>
      </w:r>
      <w:r w:rsidR="00706A92" w:rsidRPr="00706A92">
        <w:rPr>
          <w:b/>
          <w:bCs/>
        </w:rPr>
        <w:t xml:space="preserve">(Yadav et al., 2015), </w:t>
      </w:r>
      <w:r w:rsidR="00706A92" w:rsidRPr="00706A92">
        <w:t xml:space="preserve">iontophoresis with 0.33% NaF gel produced partial occlusion of dentinal tubules that is comparable with diode laser when compared under scanning electron microscope, however it showed significantly less totally occluded tubules than diode laser showed </w:t>
      </w:r>
      <w:r w:rsidR="00706A92" w:rsidRPr="00706A92">
        <w:rPr>
          <w:b/>
          <w:bCs/>
        </w:rPr>
        <w:t>(Patil et al., 2017)</w:t>
      </w:r>
      <w:r w:rsidR="00706A92" w:rsidRPr="001D09CB">
        <w:t>.</w:t>
      </w:r>
    </w:p>
    <w:p w:rsidR="00815886" w:rsidRPr="00BE5828" w:rsidRDefault="00815886" w:rsidP="001D09CB">
      <w:pPr>
        <w:pStyle w:val="Heading1"/>
        <w:spacing w:before="0" w:after="120"/>
        <w:rPr>
          <w:color w:val="002060"/>
        </w:rPr>
      </w:pPr>
      <w:r w:rsidRPr="00BE5828">
        <w:rPr>
          <w:color w:val="002060"/>
        </w:rPr>
        <w:t xml:space="preserve">Anti-inflammatory Desensitizing agents: </w:t>
      </w:r>
    </w:p>
    <w:p w:rsidR="00815886" w:rsidRDefault="00815886" w:rsidP="00E74588">
      <w:r w:rsidRPr="00815886">
        <w:t xml:space="preserve"> Corticosteroid Steroid application to </w:t>
      </w:r>
      <w:r w:rsidR="001D09CB">
        <w:t xml:space="preserve">exposed </w:t>
      </w:r>
      <w:r w:rsidRPr="00815886">
        <w:t xml:space="preserve">dentin increases peritubular dentin mineralization. Thus, the tubule lumen </w:t>
      </w:r>
      <w:r w:rsidR="001D09CB">
        <w:t>will</w:t>
      </w:r>
      <w:r w:rsidRPr="00815886">
        <w:t xml:space="preserve"> be decreased, resulting in less dentinal tubular fluid movement, re</w:t>
      </w:r>
      <w:r w:rsidR="00E74588">
        <w:t>ducing the dentinal sensitivity</w:t>
      </w:r>
      <w:r w:rsidRPr="001D09CB">
        <w:t>.</w:t>
      </w:r>
      <w:r w:rsidR="001D09CB">
        <w:t xml:space="preserve"> </w:t>
      </w:r>
      <w:r w:rsidRPr="00815886">
        <w:t>Although, corticosteroids are reasonably effective in reducing dentine hypersensitivity</w:t>
      </w:r>
      <w:r w:rsidR="001D09CB">
        <w:t>,</w:t>
      </w:r>
      <w:r w:rsidRPr="00815886">
        <w:t xml:space="preserve"> but, still inferior to sodium fluoride and strontium chloride </w:t>
      </w:r>
      <w:r w:rsidR="00E74588" w:rsidRPr="00815886">
        <w:rPr>
          <w:b/>
          <w:bCs/>
        </w:rPr>
        <w:t>(Berman, 1984)</w:t>
      </w:r>
      <w:r w:rsidR="00E74588" w:rsidRPr="001D09CB">
        <w:t>.</w:t>
      </w:r>
    </w:p>
    <w:p w:rsidR="00815886" w:rsidRPr="00BE5828" w:rsidRDefault="00815886" w:rsidP="001D09CB">
      <w:pPr>
        <w:pStyle w:val="Heading1"/>
        <w:rPr>
          <w:color w:val="385623" w:themeColor="accent6" w:themeShade="80"/>
        </w:rPr>
      </w:pPr>
      <w:r w:rsidRPr="00BE5828">
        <w:rPr>
          <w:color w:val="385623" w:themeColor="accent6" w:themeShade="80"/>
        </w:rPr>
        <w:t>Desensitizing Agents that lead to precipitation of calcium and phosphates:</w:t>
      </w:r>
    </w:p>
    <w:p w:rsidR="00815886" w:rsidRPr="001D09CB" w:rsidRDefault="00815886" w:rsidP="001F45D1">
      <w:pPr>
        <w:rPr>
          <w:rFonts w:asciiTheme="minorBidi" w:hAnsiTheme="minorBidi"/>
          <w:b/>
          <w:bCs/>
          <w:szCs w:val="28"/>
        </w:rPr>
      </w:pPr>
      <w:r w:rsidRPr="001D09CB">
        <w:rPr>
          <w:rFonts w:asciiTheme="minorBidi" w:hAnsiTheme="minorBidi"/>
          <w:b/>
          <w:bCs/>
          <w:szCs w:val="28"/>
        </w:rPr>
        <w:t>1</w:t>
      </w:r>
      <w:r w:rsidR="001D09CB" w:rsidRPr="001D09CB">
        <w:rPr>
          <w:rFonts w:asciiTheme="minorBidi" w:hAnsiTheme="minorBidi"/>
          <w:b/>
          <w:bCs/>
          <w:szCs w:val="28"/>
        </w:rPr>
        <w:t>-</w:t>
      </w:r>
      <w:r w:rsidRPr="001D09CB">
        <w:rPr>
          <w:rFonts w:asciiTheme="minorBidi" w:hAnsiTheme="minorBidi"/>
          <w:b/>
          <w:bCs/>
          <w:szCs w:val="28"/>
        </w:rPr>
        <w:t xml:space="preserve"> Bioactive glass: </w:t>
      </w:r>
    </w:p>
    <w:p w:rsidR="00DA1A78" w:rsidRDefault="00815886" w:rsidP="00792805">
      <w:pPr>
        <w:rPr>
          <w:b/>
          <w:bCs/>
        </w:rPr>
      </w:pPr>
      <w:r>
        <w:t xml:space="preserve">A </w:t>
      </w:r>
      <w:r w:rsidRPr="00815886">
        <w:t>product mostly composed of silica</w:t>
      </w:r>
      <w:r w:rsidR="001D09CB">
        <w:t>. T</w:t>
      </w:r>
      <w:r w:rsidRPr="00815886">
        <w:t>he mechanism of action starts with releasing Ca</w:t>
      </w:r>
      <w:r w:rsidRPr="001D09CB">
        <w:rPr>
          <w:vertAlign w:val="superscript"/>
        </w:rPr>
        <w:t>+2</w:t>
      </w:r>
      <w:r w:rsidRPr="00815886">
        <w:t xml:space="preserve"> and PO</w:t>
      </w:r>
      <w:r w:rsidRPr="001D09CB">
        <w:rPr>
          <w:vertAlign w:val="subscript"/>
        </w:rPr>
        <w:t>4</w:t>
      </w:r>
      <w:r w:rsidRPr="001D09CB">
        <w:rPr>
          <w:vertAlign w:val="superscript"/>
        </w:rPr>
        <w:t>-3</w:t>
      </w:r>
      <w:r w:rsidRPr="00815886">
        <w:t xml:space="preserve"> ions that continues as long as the material is exposed to the aqueous environment. A localized, transient increase in pH occurs during the initial material exposure due to the release of Na</w:t>
      </w:r>
      <w:r w:rsidRPr="001D09CB">
        <w:rPr>
          <w:vertAlign w:val="superscript"/>
        </w:rPr>
        <w:t>+</w:t>
      </w:r>
      <w:r w:rsidRPr="00815886">
        <w:t xml:space="preserve"> that helps to precipitate the Ca</w:t>
      </w:r>
      <w:r w:rsidRPr="001D09CB">
        <w:rPr>
          <w:vertAlign w:val="superscript"/>
        </w:rPr>
        <w:t>+2</w:t>
      </w:r>
      <w:r w:rsidRPr="00815886">
        <w:t xml:space="preserve"> and PO</w:t>
      </w:r>
      <w:r w:rsidRPr="001D09CB">
        <w:rPr>
          <w:vertAlign w:val="subscript"/>
        </w:rPr>
        <w:t>4</w:t>
      </w:r>
      <w:r w:rsidRPr="00815886">
        <w:t xml:space="preserve"> </w:t>
      </w:r>
      <w:r w:rsidRPr="001D09CB">
        <w:rPr>
          <w:vertAlign w:val="superscript"/>
        </w:rPr>
        <w:t>-3</w:t>
      </w:r>
      <w:r w:rsidRPr="00815886">
        <w:t xml:space="preserve"> ions of the particle forming a layer of calcium phosphate Ca (PO</w:t>
      </w:r>
      <w:r w:rsidRPr="001D09CB">
        <w:rPr>
          <w:vertAlign w:val="subscript"/>
        </w:rPr>
        <w:t>4</w:t>
      </w:r>
      <w:r w:rsidRPr="00815886">
        <w:t>)</w:t>
      </w:r>
      <w:r w:rsidRPr="001D09CB">
        <w:rPr>
          <w:vertAlign w:val="superscript"/>
        </w:rPr>
        <w:t>2</w:t>
      </w:r>
      <w:r w:rsidRPr="00815886">
        <w:t>, which crystallizes into hydroxycarbonate apatite that is chemically and structurally equal to biological apatite. Physical occlusion of dentin tubules is carried out through the combination of residual particles and the newly formed apatite layer resulting in remission or pain reduction</w:t>
      </w:r>
      <w:r w:rsidR="00DA1A78">
        <w:t xml:space="preserve"> </w:t>
      </w:r>
      <w:r w:rsidR="00BE5828">
        <w:rPr>
          <w:b/>
          <w:bCs/>
        </w:rPr>
        <w:t>(</w:t>
      </w:r>
      <w:r w:rsidR="00BE5828" w:rsidRPr="00DA1A78">
        <w:rPr>
          <w:b/>
          <w:bCs/>
        </w:rPr>
        <w:t>Hench</w:t>
      </w:r>
      <w:r w:rsidR="00DA1A78" w:rsidRPr="00DA1A78">
        <w:rPr>
          <w:b/>
          <w:bCs/>
        </w:rPr>
        <w:t>, 2006)</w:t>
      </w:r>
      <w:r w:rsidR="00DA1A78">
        <w:t xml:space="preserve"> </w:t>
      </w:r>
      <w:r w:rsidR="00DA1A78" w:rsidRPr="00DA1A78">
        <w:t>due to the neoformation of a bioa</w:t>
      </w:r>
      <w:r w:rsidR="00792805">
        <w:t xml:space="preserve">ctive barrier on dentin surface. </w:t>
      </w:r>
      <w:r w:rsidR="001D09CB">
        <w:t>T</w:t>
      </w:r>
      <w:r w:rsidR="00DA1A78" w:rsidRPr="00DA1A78">
        <w:t xml:space="preserve">he use of bioactive materials is promising for DH as it occludes the dentinal tubules and form a mechanically strong layer of hydroxyapatite on the dentin surface, that resist degradation by repeated acid challenges </w:t>
      </w:r>
      <w:r w:rsidR="00792805" w:rsidRPr="00792805">
        <w:rPr>
          <w:b/>
          <w:bCs/>
        </w:rPr>
        <w:t>(Bansal &amp; Mahajan, 2017)</w:t>
      </w:r>
      <w:r w:rsidR="00792805" w:rsidRPr="00792805">
        <w:t xml:space="preserve">. </w:t>
      </w:r>
      <w:r w:rsidR="00DA1A78">
        <w:t>A</w:t>
      </w:r>
      <w:r w:rsidR="00DA1A78" w:rsidRPr="00DA1A78">
        <w:t xml:space="preserve"> recent study </w:t>
      </w:r>
      <w:r w:rsidR="00DA1A78" w:rsidRPr="001D09CB">
        <w:rPr>
          <w:b/>
          <w:bCs/>
        </w:rPr>
        <w:t>(</w:t>
      </w:r>
      <w:r w:rsidR="00792805" w:rsidRPr="00792805">
        <w:rPr>
          <w:b/>
          <w:bCs/>
        </w:rPr>
        <w:t>Hongal S.</w:t>
      </w:r>
      <w:r w:rsidR="00792805">
        <w:rPr>
          <w:b/>
          <w:bCs/>
        </w:rPr>
        <w:t xml:space="preserve"> </w:t>
      </w:r>
      <w:r w:rsidR="00DA1A78" w:rsidRPr="001D09CB">
        <w:rPr>
          <w:b/>
          <w:bCs/>
        </w:rPr>
        <w:t>et al., 2019)</w:t>
      </w:r>
      <w:r w:rsidR="001D09CB">
        <w:rPr>
          <w:b/>
          <w:bCs/>
        </w:rPr>
        <w:t xml:space="preserve"> </w:t>
      </w:r>
      <w:r w:rsidR="00DA1A78" w:rsidRPr="00DA1A78">
        <w:t xml:space="preserve">under </w:t>
      </w:r>
      <w:r w:rsidR="001D09CB">
        <w:t>SEM</w:t>
      </w:r>
      <w:r w:rsidR="00DA1A78" w:rsidRPr="00DA1A78">
        <w:t xml:space="preserve"> showed that </w:t>
      </w:r>
      <w:r w:rsidR="001D09CB" w:rsidRPr="00DA1A78">
        <w:t>bioactive</w:t>
      </w:r>
      <w:r w:rsidR="00DA1A78" w:rsidRPr="00DA1A78">
        <w:t xml:space="preserve"> glass has the highest percentage of dentinal tubule occlusion followed by Pro-arginine and Strontium chloride while Potassium nitrate shows the least amount of dentinal tubule occlusion</w:t>
      </w:r>
      <w:r w:rsidR="001D09CB" w:rsidRPr="001D09CB">
        <w:t>.</w:t>
      </w:r>
      <w:r w:rsidR="00DA1A78" w:rsidRPr="00DA1A78">
        <w:t xml:space="preserve"> </w:t>
      </w:r>
      <w:r w:rsidR="001D09CB">
        <w:t>F</w:t>
      </w:r>
      <w:r w:rsidR="00DA1A78" w:rsidRPr="00DA1A78">
        <w:t>urthermore,</w:t>
      </w:r>
      <w:r w:rsidR="001D09CB">
        <w:t xml:space="preserve"> the </w:t>
      </w:r>
      <w:r w:rsidR="00DA1A78" w:rsidRPr="00DA1A78">
        <w:t>application of bioactive glass (B</w:t>
      </w:r>
      <w:r w:rsidR="001D09CB">
        <w:t>A</w:t>
      </w:r>
      <w:r w:rsidR="00DA1A78" w:rsidRPr="00DA1A78">
        <w:t>G) irradiated by high-power laser could be promising effective and long-lasting method for managing dentin hypersensitivity. Despite the great advantages of B</w:t>
      </w:r>
      <w:r w:rsidR="001D09CB">
        <w:t>A</w:t>
      </w:r>
      <w:r w:rsidR="00DA1A78" w:rsidRPr="00DA1A78">
        <w:t>G, it was suggested that toothpaste containing B</w:t>
      </w:r>
      <w:r w:rsidR="001D09CB">
        <w:t>A</w:t>
      </w:r>
      <w:r w:rsidR="00DA1A78" w:rsidRPr="00DA1A78">
        <w:t xml:space="preserve">G is abrasive to enamel and may be </w:t>
      </w:r>
      <w:r w:rsidR="00DA1A78">
        <w:t xml:space="preserve">a contributing factor in dentin </w:t>
      </w:r>
      <w:r w:rsidR="00DA1A78" w:rsidRPr="00DA1A78">
        <w:t>hypersensitivity specially if com</w:t>
      </w:r>
      <w:r w:rsidR="001663EB">
        <w:t>bined with an erosive challenge.</w:t>
      </w:r>
      <w:r w:rsidR="00DA1A78" w:rsidRPr="00DA1A78">
        <w:t xml:space="preserve"> </w:t>
      </w:r>
      <w:r w:rsidR="001D09CB" w:rsidRPr="00DA1A78">
        <w:t>In</w:t>
      </w:r>
      <w:r w:rsidR="00DA1A78" w:rsidRPr="00DA1A78">
        <w:t xml:space="preserve"> order to overcome such drawback, it was found reducing the particle size would reduce abrasiveness </w:t>
      </w:r>
      <w:r w:rsidR="00DA1A78" w:rsidRPr="00DA1A78">
        <w:rPr>
          <w:b/>
          <w:bCs/>
        </w:rPr>
        <w:t>(Mahmood et al., 2014)</w:t>
      </w:r>
      <w:r w:rsidR="001D09CB" w:rsidRPr="001D09CB">
        <w:t>.</w:t>
      </w:r>
      <w:r w:rsidR="00DA1A78">
        <w:t xml:space="preserve"> </w:t>
      </w:r>
      <w:r w:rsidR="001D09CB">
        <w:t>Moreover</w:t>
      </w:r>
      <w:r w:rsidR="00DA1A78">
        <w:t xml:space="preserve">, </w:t>
      </w:r>
      <w:r w:rsidR="00DA1A78" w:rsidRPr="00DA1A78">
        <w:t xml:space="preserve">drawbacks from independent use can be prevented through simultaneous application of silver-containing mesoporous bioactive glass MBG-Ag sealing and exposure for Er:YAG laser resulting in a superior outcome of treatment for dentin hypersensitivity </w:t>
      </w:r>
      <w:r w:rsidR="00DA1A78" w:rsidRPr="00DA1A78">
        <w:rPr>
          <w:b/>
          <w:bCs/>
        </w:rPr>
        <w:t>(Kung et al., 2021)</w:t>
      </w:r>
      <w:r w:rsidR="00DA1A78" w:rsidRPr="001D09CB">
        <w:t>.</w:t>
      </w:r>
      <w:r w:rsidR="00DA1A78">
        <w:rPr>
          <w:b/>
          <w:bCs/>
        </w:rPr>
        <w:t xml:space="preserve"> </w:t>
      </w:r>
    </w:p>
    <w:p w:rsidR="007E22E8" w:rsidRPr="00BE5828" w:rsidRDefault="007E22E8" w:rsidP="001D09CB">
      <w:pPr>
        <w:pStyle w:val="Heading1"/>
        <w:spacing w:before="0" w:after="120"/>
        <w:jc w:val="center"/>
        <w:rPr>
          <w:color w:val="C00000"/>
        </w:rPr>
      </w:pPr>
      <w:r w:rsidRPr="00BE5828">
        <w:rPr>
          <w:color w:val="C00000"/>
        </w:rPr>
        <w:t>New agents for management of hypersensitivity</w:t>
      </w:r>
    </w:p>
    <w:p w:rsidR="006F3079" w:rsidRPr="006F3079" w:rsidRDefault="006163F9" w:rsidP="00C7200E">
      <w:r>
        <w:t>The use of c</w:t>
      </w:r>
      <w:r w:rsidR="006F3079" w:rsidRPr="006F3079">
        <w:t>asein-phosphopeptide-a</w:t>
      </w:r>
      <w:r>
        <w:t>morphous calcium phosphate (CPP-</w:t>
      </w:r>
      <w:r w:rsidR="006F3079" w:rsidRPr="006F3079">
        <w:t>ACP)</w:t>
      </w:r>
      <w:r>
        <w:t xml:space="preserve"> for</w:t>
      </w:r>
      <w:r w:rsidR="006F3079" w:rsidRPr="006F3079">
        <w:t xml:space="preserve"> 6 weeks of topical application is recommended. It prevents the dissociation of calcium and phosphate ions and maintains their availability </w:t>
      </w:r>
      <w:r w:rsidR="006F3079">
        <w:rPr>
          <w:b/>
          <w:bCs/>
        </w:rPr>
        <w:t>(</w:t>
      </w:r>
      <w:r w:rsidR="006F3079" w:rsidRPr="006F3079">
        <w:rPr>
          <w:b/>
          <w:bCs/>
        </w:rPr>
        <w:t>Cai et al</w:t>
      </w:r>
      <w:r>
        <w:rPr>
          <w:b/>
          <w:bCs/>
        </w:rPr>
        <w:t>.</w:t>
      </w:r>
      <w:r w:rsidR="006F3079" w:rsidRPr="006F3079">
        <w:rPr>
          <w:b/>
          <w:bCs/>
        </w:rPr>
        <w:t>, 2003)</w:t>
      </w:r>
      <w:r w:rsidRPr="006163F9">
        <w:t>.</w:t>
      </w:r>
      <w:r w:rsidR="006F3079">
        <w:rPr>
          <w:b/>
          <w:bCs/>
        </w:rPr>
        <w:t xml:space="preserve"> </w:t>
      </w:r>
      <w:r w:rsidRPr="006163F9">
        <w:t>The use of n</w:t>
      </w:r>
      <w:r w:rsidR="006F3079" w:rsidRPr="006F3079">
        <w:t>ano</w:t>
      </w:r>
      <w:r w:rsidR="006F3079">
        <w:t>materials</w:t>
      </w:r>
      <w:r>
        <w:t xml:space="preserve"> </w:t>
      </w:r>
      <w:r w:rsidR="006F3079">
        <w:t>wi</w:t>
      </w:r>
      <w:r>
        <w:t>th a dimension less than 100 nm is also effective in treating DH.</w:t>
      </w:r>
      <w:r w:rsidR="006F3079">
        <w:t xml:space="preserve"> This </w:t>
      </w:r>
      <w:r>
        <w:t>occludes</w:t>
      </w:r>
      <w:r w:rsidR="006F3079">
        <w:t xml:space="preserve"> the tubule and lasts a minimum of 7 days. The agents from this group include nanostructure bioactive glass, </w:t>
      </w:r>
      <w:r>
        <w:t>and</w:t>
      </w:r>
      <w:r w:rsidR="006F3079">
        <w:t xml:space="preserve"> nanohydroxyapatite </w:t>
      </w:r>
      <w:r w:rsidR="00FA7B47" w:rsidRPr="00FA7B47">
        <w:rPr>
          <w:b/>
          <w:bCs/>
        </w:rPr>
        <w:t xml:space="preserve">(Wang, et </w:t>
      </w:r>
      <w:r w:rsidRPr="00FA7B47">
        <w:rPr>
          <w:b/>
          <w:bCs/>
        </w:rPr>
        <w:t>al</w:t>
      </w:r>
      <w:r>
        <w:rPr>
          <w:b/>
          <w:bCs/>
        </w:rPr>
        <w:t>.,</w:t>
      </w:r>
      <w:r w:rsidRPr="00FA7B47">
        <w:rPr>
          <w:b/>
          <w:bCs/>
        </w:rPr>
        <w:t xml:space="preserve"> 2016)</w:t>
      </w:r>
      <w:r w:rsidR="00FA7B47" w:rsidRPr="006163F9">
        <w:t>.</w:t>
      </w:r>
    </w:p>
    <w:p w:rsidR="00815886" w:rsidRPr="00036314" w:rsidRDefault="00EB373D" w:rsidP="006163F9">
      <w:pPr>
        <w:pStyle w:val="Heading1"/>
        <w:rPr>
          <w:color w:val="385623" w:themeColor="accent6" w:themeShade="80"/>
        </w:rPr>
      </w:pPr>
      <w:r w:rsidRPr="00036314">
        <w:rPr>
          <w:color w:val="385623" w:themeColor="accent6" w:themeShade="80"/>
        </w:rPr>
        <w:t xml:space="preserve">Heal Ozone treatment </w:t>
      </w:r>
    </w:p>
    <w:p w:rsidR="00EB373D" w:rsidRDefault="006163F9" w:rsidP="00BE5828">
      <w:pPr>
        <w:rPr>
          <w:b/>
          <w:bCs/>
        </w:rPr>
      </w:pPr>
      <w:r>
        <w:t>The o</w:t>
      </w:r>
      <w:r w:rsidR="00EB373D" w:rsidRPr="00EB373D">
        <w:t xml:space="preserve">zone penetrates the exposed tubules eliminating bacterial contamination and allowing diffusion of calcium and phosphorus ions to the inner surface and subsequent sealing of the dentine tubules </w:t>
      </w:r>
      <w:r w:rsidR="00EB373D" w:rsidRPr="00EB373D">
        <w:rPr>
          <w:b/>
          <w:bCs/>
        </w:rPr>
        <w:t xml:space="preserve">(Gupta </w:t>
      </w:r>
      <w:r>
        <w:rPr>
          <w:b/>
          <w:bCs/>
        </w:rPr>
        <w:t>&amp;</w:t>
      </w:r>
      <w:r w:rsidR="00EB373D" w:rsidRPr="00EB373D">
        <w:rPr>
          <w:b/>
          <w:bCs/>
        </w:rPr>
        <w:t xml:space="preserve"> Mansi B, 2012)</w:t>
      </w:r>
      <w:r w:rsidR="00EB373D" w:rsidRPr="006163F9">
        <w:t>.</w:t>
      </w:r>
      <w:r w:rsidR="00EB373D" w:rsidRPr="00EB373D">
        <w:t xml:space="preserve"> A study </w:t>
      </w:r>
      <w:r w:rsidR="00EB373D" w:rsidRPr="006163F9">
        <w:rPr>
          <w:b/>
          <w:bCs/>
        </w:rPr>
        <w:t>(Dähnhardt et al., 2008)</w:t>
      </w:r>
      <w:r w:rsidRPr="006163F9">
        <w:t>,</w:t>
      </w:r>
      <w:r>
        <w:rPr>
          <w:b/>
          <w:bCs/>
        </w:rPr>
        <w:t xml:space="preserve"> </w:t>
      </w:r>
      <w:r w:rsidR="00EB373D" w:rsidRPr="00EB373D">
        <w:t xml:space="preserve">showed </w:t>
      </w:r>
      <w:r>
        <w:t xml:space="preserve">that there was </w:t>
      </w:r>
      <w:r w:rsidR="00EB373D" w:rsidRPr="00EB373D">
        <w:t xml:space="preserve">statistically </w:t>
      </w:r>
      <w:r>
        <w:t xml:space="preserve">no </w:t>
      </w:r>
      <w:r w:rsidR="00EB373D" w:rsidRPr="00EB373D">
        <w:t>significant difference in pain reduction when ozone treatment was applied on hypersensitive teeth</w:t>
      </w:r>
      <w:r w:rsidR="00EB373D" w:rsidRPr="006163F9">
        <w:t>.</w:t>
      </w:r>
      <w:r>
        <w:t xml:space="preserve"> However, another </w:t>
      </w:r>
      <w:r w:rsidR="00EB373D" w:rsidRPr="00EB373D">
        <w:t>study</w:t>
      </w:r>
      <w:r>
        <w:t xml:space="preserve"> </w:t>
      </w:r>
      <w:r w:rsidR="00EB373D" w:rsidRPr="006163F9">
        <w:rPr>
          <w:b/>
          <w:bCs/>
        </w:rPr>
        <w:t>(Azarpazhooh et al., 2009)</w:t>
      </w:r>
      <w:r w:rsidR="00EB373D" w:rsidRPr="00EB373D">
        <w:t xml:space="preserve"> proved that there was an average of 55% decrease of pain level of root dentinal hypersensitivity after ozone treatment</w:t>
      </w:r>
      <w:r w:rsidR="00EB373D" w:rsidRPr="00EB373D">
        <w:rPr>
          <w:b/>
          <w:bCs/>
        </w:rPr>
        <w:t>.</w:t>
      </w:r>
      <w:r w:rsidR="00EB373D" w:rsidRPr="00EB373D">
        <w:t xml:space="preserve"> Although, ozone therapy provides no discomfort or pain and It reduces patient’s anxiety and stress level by reducing the treatment duration, </w:t>
      </w:r>
      <w:r>
        <w:t>but,</w:t>
      </w:r>
      <w:r w:rsidR="00EB373D" w:rsidRPr="00EB373D">
        <w:t xml:space="preserve"> there are limited useful role in treating root DH, not to mention the possible side effect that may go up to the respiratory tract</w:t>
      </w:r>
      <w:r>
        <w:t>.</w:t>
      </w:r>
      <w:r w:rsidR="00EB373D" w:rsidRPr="00EB373D">
        <w:t xml:space="preserve"> More studies are required</w:t>
      </w:r>
      <w:r>
        <w:t xml:space="preserve"> to prove these speculations</w:t>
      </w:r>
      <w:r w:rsidR="00EB373D" w:rsidRPr="00EB373D">
        <w:t xml:space="preserve"> </w:t>
      </w:r>
      <w:r w:rsidR="00EB373D" w:rsidRPr="00EB373D">
        <w:rPr>
          <w:b/>
          <w:bCs/>
        </w:rPr>
        <w:t>(</w:t>
      </w:r>
      <w:r w:rsidR="00BE5828" w:rsidRPr="00EB373D">
        <w:rPr>
          <w:b/>
          <w:bCs/>
        </w:rPr>
        <w:t>Sen</w:t>
      </w:r>
      <w:r w:rsidR="00BE5828">
        <w:rPr>
          <w:b/>
          <w:bCs/>
        </w:rPr>
        <w:t xml:space="preserve">  &amp;</w:t>
      </w:r>
      <w:r>
        <w:rPr>
          <w:b/>
          <w:bCs/>
        </w:rPr>
        <w:t xml:space="preserve"> </w:t>
      </w:r>
      <w:r w:rsidR="00EB373D" w:rsidRPr="00EB373D">
        <w:rPr>
          <w:b/>
          <w:bCs/>
        </w:rPr>
        <w:t>Sen, 2020)</w:t>
      </w:r>
      <w:r w:rsidR="00EB373D" w:rsidRPr="006163F9">
        <w:t>.</w:t>
      </w:r>
    </w:p>
    <w:p w:rsidR="00EB373D" w:rsidRPr="00BE5828" w:rsidRDefault="00765C1C" w:rsidP="006163F9">
      <w:pPr>
        <w:pStyle w:val="Heading1"/>
        <w:rPr>
          <w:color w:val="1F3864" w:themeColor="accent5" w:themeShade="80"/>
        </w:rPr>
      </w:pPr>
      <w:r w:rsidRPr="00BE5828">
        <w:rPr>
          <w:color w:val="1F3864" w:themeColor="accent5" w:themeShade="80"/>
        </w:rPr>
        <w:t>Laser application</w:t>
      </w:r>
    </w:p>
    <w:p w:rsidR="0010304A" w:rsidRDefault="00E379B2" w:rsidP="0029512F">
      <w:r w:rsidRPr="00E379B2">
        <w:t xml:space="preserve">The </w:t>
      </w:r>
      <w:r w:rsidR="0010304A" w:rsidRPr="0010304A">
        <w:t>Laser therapy was first introduced as a potential method for treating dentinal hypersensitivity in 1985</w:t>
      </w:r>
      <w:r w:rsidR="0010304A">
        <w:t xml:space="preserve"> </w:t>
      </w:r>
      <w:r w:rsidR="0010304A" w:rsidRPr="00414E4E">
        <w:rPr>
          <w:b/>
          <w:bCs/>
        </w:rPr>
        <w:t>(Matsumoto et al</w:t>
      </w:r>
      <w:r w:rsidR="006163F9">
        <w:rPr>
          <w:b/>
          <w:bCs/>
        </w:rPr>
        <w:t>.,</w:t>
      </w:r>
      <w:r w:rsidR="0010304A" w:rsidRPr="00414E4E">
        <w:rPr>
          <w:b/>
          <w:bCs/>
        </w:rPr>
        <w:t xml:space="preserve"> 1985)</w:t>
      </w:r>
      <w:r w:rsidR="006163F9" w:rsidRPr="006163F9">
        <w:t>.</w:t>
      </w:r>
      <w:r w:rsidR="0010304A">
        <w:t xml:space="preserve"> </w:t>
      </w:r>
      <w:r w:rsidR="006163F9">
        <w:t>T</w:t>
      </w:r>
      <w:r w:rsidR="0010304A" w:rsidRPr="0010304A">
        <w:t>he</w:t>
      </w:r>
      <w:r w:rsidR="0010304A">
        <w:t xml:space="preserve"> </w:t>
      </w:r>
      <w:r w:rsidR="0010304A" w:rsidRPr="0010304A">
        <w:t>mechanisms involved in laser treatment of dentin</w:t>
      </w:r>
      <w:r w:rsidR="006163F9">
        <w:t xml:space="preserve"> </w:t>
      </w:r>
      <w:r w:rsidR="0010304A" w:rsidRPr="0010304A">
        <w:t>hypersensitivity are relatively unknown</w:t>
      </w:r>
      <w:r>
        <w:t xml:space="preserve"> </w:t>
      </w:r>
      <w:r w:rsidR="0010304A" w:rsidRPr="00414E4E">
        <w:rPr>
          <w:b/>
          <w:bCs/>
        </w:rPr>
        <w:t>(Kimura et al</w:t>
      </w:r>
      <w:r w:rsidR="006163F9">
        <w:rPr>
          <w:b/>
          <w:bCs/>
        </w:rPr>
        <w:t>.,</w:t>
      </w:r>
      <w:r w:rsidR="0010304A" w:rsidRPr="00414E4E">
        <w:rPr>
          <w:b/>
          <w:bCs/>
        </w:rPr>
        <w:t xml:space="preserve"> 2000)</w:t>
      </w:r>
      <w:r w:rsidR="006163F9" w:rsidRPr="006163F9">
        <w:t>.</w:t>
      </w:r>
      <w:r w:rsidR="0010304A">
        <w:t xml:space="preserve"> </w:t>
      </w:r>
      <w:r w:rsidR="0010304A" w:rsidRPr="0010304A">
        <w:t>The laser interact</w:t>
      </w:r>
      <w:r w:rsidR="006163F9">
        <w:t>s</w:t>
      </w:r>
      <w:r w:rsidR="0010304A" w:rsidRPr="0010304A">
        <w:t xml:space="preserve"> with the tissue</w:t>
      </w:r>
      <w:r w:rsidR="006163F9">
        <w:t xml:space="preserve"> that</w:t>
      </w:r>
      <w:r w:rsidR="0010304A" w:rsidRPr="0010304A">
        <w:t xml:space="preserve"> causes different tissue reactions</w:t>
      </w:r>
      <w:r w:rsidR="006163F9">
        <w:t>. This depends on</w:t>
      </w:r>
      <w:r w:rsidR="0010304A" w:rsidRPr="0010304A">
        <w:t xml:space="preserve"> its active medium, wavelength and power density and to the optical properties of the target tissue</w:t>
      </w:r>
      <w:r w:rsidR="0010304A">
        <w:t xml:space="preserve"> </w:t>
      </w:r>
      <w:r w:rsidR="0010304A" w:rsidRPr="00414E4E">
        <w:rPr>
          <w:b/>
          <w:bCs/>
        </w:rPr>
        <w:t>(Ladalardo et al</w:t>
      </w:r>
      <w:r w:rsidR="006163F9">
        <w:rPr>
          <w:b/>
          <w:bCs/>
        </w:rPr>
        <w:t>.,</w:t>
      </w:r>
      <w:r w:rsidR="0010304A" w:rsidRPr="00414E4E">
        <w:rPr>
          <w:b/>
          <w:bCs/>
        </w:rPr>
        <w:t xml:space="preserve"> 2004)</w:t>
      </w:r>
      <w:r w:rsidR="00CC2FC1" w:rsidRPr="00CC2FC1">
        <w:t>.</w:t>
      </w:r>
      <w:r w:rsidR="00CC2FC1">
        <w:rPr>
          <w:b/>
          <w:bCs/>
        </w:rPr>
        <w:t xml:space="preserve"> </w:t>
      </w:r>
      <w:r w:rsidR="00CC2FC1">
        <w:t>This</w:t>
      </w:r>
      <w:r w:rsidR="0010304A" w:rsidRPr="0010304A">
        <w:t xml:space="preserve"> occur</w:t>
      </w:r>
      <w:r w:rsidR="00CC2FC1">
        <w:t>s</w:t>
      </w:r>
      <w:r w:rsidR="0010304A" w:rsidRPr="0010304A">
        <w:t xml:space="preserve"> through </w:t>
      </w:r>
      <w:r w:rsidR="00CC2FC1">
        <w:t xml:space="preserve">the </w:t>
      </w:r>
      <w:r w:rsidR="0010304A" w:rsidRPr="0010304A">
        <w:t>coagulation</w:t>
      </w:r>
      <w:r w:rsidR="00CC2FC1">
        <w:t xml:space="preserve"> effect</w:t>
      </w:r>
      <w:r w:rsidR="0010304A" w:rsidRPr="0010304A">
        <w:t xml:space="preserve"> and protein precipitation of the plasma in the dentinal fluid or by alteration of the nerve fiber activity. </w:t>
      </w:r>
      <w:r w:rsidR="00CC2FC1">
        <w:t>A</w:t>
      </w:r>
      <w:r w:rsidR="0010304A" w:rsidRPr="0010304A">
        <w:t xml:space="preserve"> study </w:t>
      </w:r>
      <w:r w:rsidR="00CC2FC1">
        <w:t>of</w:t>
      </w:r>
      <w:r w:rsidR="0010304A" w:rsidRPr="0010304A">
        <w:t xml:space="preserve"> McCarthy et al.</w:t>
      </w:r>
      <w:r w:rsidR="00CC2FC1">
        <w:t xml:space="preserve"> (1997)</w:t>
      </w:r>
      <w:r w:rsidR="0010304A" w:rsidRPr="0010304A">
        <w:t xml:space="preserve"> indicate</w:t>
      </w:r>
      <w:r w:rsidR="00CC2FC1">
        <w:t>d</w:t>
      </w:r>
      <w:r w:rsidR="0010304A" w:rsidRPr="0010304A">
        <w:t xml:space="preserve"> that the reduction in DH could be the result of alteration of the root dentinal surface, physically occluding the dentinal tubules</w:t>
      </w:r>
      <w:r w:rsidR="00CC2FC1">
        <w:t>.</w:t>
      </w:r>
      <w:r w:rsidR="0010304A">
        <w:t xml:space="preserve"> </w:t>
      </w:r>
      <w:r w:rsidR="00CC2FC1">
        <w:t xml:space="preserve">The </w:t>
      </w:r>
      <w:r w:rsidR="0010304A" w:rsidRPr="0010304A">
        <w:t>laser energy interferes with the sodium pump mechanism, changes the cell membrane permeability and/or temporarily alters the endings of the sensory axons</w:t>
      </w:r>
      <w:r w:rsidR="0010304A">
        <w:t xml:space="preserve"> </w:t>
      </w:r>
      <w:r w:rsidR="0010304A" w:rsidRPr="00414E4E">
        <w:rPr>
          <w:b/>
          <w:bCs/>
        </w:rPr>
        <w:t>(Kimura, et al</w:t>
      </w:r>
      <w:r w:rsidR="00CC2FC1">
        <w:rPr>
          <w:b/>
          <w:bCs/>
        </w:rPr>
        <w:t>.,</w:t>
      </w:r>
      <w:r w:rsidR="0010304A" w:rsidRPr="00414E4E">
        <w:rPr>
          <w:b/>
          <w:bCs/>
        </w:rPr>
        <w:t xml:space="preserve"> 2000)</w:t>
      </w:r>
      <w:r w:rsidR="0029512F">
        <w:t xml:space="preserve">. </w:t>
      </w:r>
      <w:r w:rsidR="0010304A" w:rsidRPr="0010304A">
        <w:t>The immediate analgesic effect in the treatment of dentin hypersensitivity with diode laser was reported by Brugnera Júnior et al.</w:t>
      </w:r>
      <w:r w:rsidR="00CC2FC1">
        <w:t xml:space="preserve"> (2001)</w:t>
      </w:r>
      <w:r w:rsidR="0010304A" w:rsidRPr="0010304A">
        <w:t xml:space="preserve"> </w:t>
      </w:r>
      <w:r w:rsidR="00CC2FC1">
        <w:t>b</w:t>
      </w:r>
      <w:r w:rsidR="0010304A" w:rsidRPr="0010304A">
        <w:t>ased on this study the laser interaction with the dental pulp causes a photobiomodulating effect,</w:t>
      </w:r>
      <w:r w:rsidR="00CC2FC1">
        <w:t xml:space="preserve"> which</w:t>
      </w:r>
      <w:r w:rsidR="0010304A" w:rsidRPr="0010304A">
        <w:t xml:space="preserve"> increas</w:t>
      </w:r>
      <w:r w:rsidR="00CC2FC1">
        <w:t>es</w:t>
      </w:r>
      <w:r w:rsidR="0010304A" w:rsidRPr="0010304A">
        <w:t xml:space="preserve"> the cellular metabolic activity of the odontoblasts and obliterating the dentinal tubules with the intensification of tertiary dentine production</w:t>
      </w:r>
      <w:r w:rsidR="0010304A">
        <w:t xml:space="preserve"> </w:t>
      </w:r>
      <w:r w:rsidR="0010304A" w:rsidRPr="00414E4E">
        <w:rPr>
          <w:b/>
          <w:bCs/>
        </w:rPr>
        <w:t>(Brugnera Júnior et al</w:t>
      </w:r>
      <w:r w:rsidR="00CC2FC1">
        <w:rPr>
          <w:b/>
          <w:bCs/>
        </w:rPr>
        <w:t>.,</w:t>
      </w:r>
      <w:r w:rsidR="0010304A" w:rsidRPr="00414E4E">
        <w:rPr>
          <w:b/>
          <w:bCs/>
        </w:rPr>
        <w:t xml:space="preserve"> 2001)</w:t>
      </w:r>
    </w:p>
    <w:p w:rsidR="0010304A" w:rsidRDefault="0010304A" w:rsidP="006163F9">
      <w:r w:rsidRPr="0010304A">
        <w:t>The lasers used for the treatment of dentine hypersensitivity are divided into two groups:</w:t>
      </w:r>
    </w:p>
    <w:p w:rsidR="0010304A" w:rsidRDefault="00414E4E" w:rsidP="00CC2FC1">
      <w:pPr>
        <w:pStyle w:val="ListParagraph"/>
        <w:numPr>
          <w:ilvl w:val="0"/>
          <w:numId w:val="11"/>
        </w:numPr>
      </w:pPr>
      <w:r w:rsidRPr="00414E4E">
        <w:t xml:space="preserve">Low output power (low-level) </w:t>
      </w:r>
      <w:r w:rsidR="00CC2FC1" w:rsidRPr="00414E4E">
        <w:t>lasers</w:t>
      </w:r>
      <w:r w:rsidR="00CC2FC1">
        <w:t>:</w:t>
      </w:r>
      <w:r>
        <w:t xml:space="preserve"> diode laser </w:t>
      </w:r>
    </w:p>
    <w:p w:rsidR="00414E4E" w:rsidRDefault="00414E4E" w:rsidP="00CC2FC1">
      <w:pPr>
        <w:pStyle w:val="ListParagraph"/>
        <w:numPr>
          <w:ilvl w:val="0"/>
          <w:numId w:val="11"/>
        </w:numPr>
      </w:pPr>
      <w:r w:rsidRPr="00414E4E">
        <w:t>Middle output power (Carbon Dioxide Laser (CO2), neodymium- or erbium-doped yttriumaluminum garnet (Nd:YAG, Er:YAG lasers) and erbium, chromium doped: yttrium, scandium, gallium and garnet (Er,Cr:YSGG) lasers)</w:t>
      </w:r>
      <w:r>
        <w:t xml:space="preserve"> </w:t>
      </w:r>
      <w:r w:rsidRPr="00CC2FC1">
        <w:rPr>
          <w:b/>
          <w:bCs/>
        </w:rPr>
        <w:t>(Kimura et al</w:t>
      </w:r>
      <w:r w:rsidR="00CC2FC1">
        <w:rPr>
          <w:b/>
          <w:bCs/>
        </w:rPr>
        <w:t>.,</w:t>
      </w:r>
      <w:r w:rsidRPr="00CC2FC1">
        <w:rPr>
          <w:b/>
          <w:bCs/>
        </w:rPr>
        <w:t xml:space="preserve"> 2000)</w:t>
      </w:r>
    </w:p>
    <w:p w:rsidR="00414E4E" w:rsidRDefault="00414E4E" w:rsidP="00CC2FC1">
      <w:pPr>
        <w:rPr>
          <w:b/>
          <w:bCs/>
        </w:rPr>
      </w:pPr>
      <w:r w:rsidRPr="00414E4E">
        <w:t>Desensitization seems to depend mostly on the type of laser therapy adopted</w:t>
      </w:r>
      <w:r>
        <w:t xml:space="preserve"> </w:t>
      </w:r>
      <w:r w:rsidRPr="00414E4E">
        <w:rPr>
          <w:b/>
          <w:bCs/>
        </w:rPr>
        <w:t xml:space="preserve">(Aranha </w:t>
      </w:r>
      <w:r w:rsidR="00CC2FC1">
        <w:rPr>
          <w:b/>
          <w:bCs/>
        </w:rPr>
        <w:t>&amp;</w:t>
      </w:r>
      <w:r w:rsidRPr="00414E4E">
        <w:rPr>
          <w:b/>
          <w:bCs/>
        </w:rPr>
        <w:t xml:space="preserve"> Eduardo</w:t>
      </w:r>
      <w:r w:rsidR="00CC2FC1">
        <w:rPr>
          <w:b/>
          <w:bCs/>
        </w:rPr>
        <w:t>,</w:t>
      </w:r>
      <w:r w:rsidRPr="00414E4E">
        <w:rPr>
          <w:b/>
          <w:bCs/>
        </w:rPr>
        <w:t xml:space="preserve"> 2012)</w:t>
      </w:r>
      <w:r w:rsidRPr="00CC2FC1">
        <w:t>.</w:t>
      </w:r>
      <w:r>
        <w:rPr>
          <w:b/>
          <w:bCs/>
        </w:rPr>
        <w:t xml:space="preserve"> </w:t>
      </w:r>
    </w:p>
    <w:p w:rsidR="00414E4E" w:rsidRPr="00CC2FC1" w:rsidRDefault="00505A18" w:rsidP="00414E4E">
      <w:pPr>
        <w:rPr>
          <w:rFonts w:asciiTheme="minorBidi" w:hAnsiTheme="minorBidi"/>
          <w:b/>
          <w:bCs/>
          <w:szCs w:val="28"/>
        </w:rPr>
      </w:pPr>
      <w:r w:rsidRPr="00CC2FC1">
        <w:rPr>
          <w:rFonts w:asciiTheme="minorBidi" w:hAnsiTheme="minorBidi"/>
          <w:b/>
          <w:bCs/>
          <w:szCs w:val="28"/>
        </w:rPr>
        <w:t>1</w:t>
      </w:r>
      <w:r w:rsidR="00CC2FC1" w:rsidRPr="00CC2FC1">
        <w:rPr>
          <w:rFonts w:asciiTheme="minorBidi" w:hAnsiTheme="minorBidi"/>
          <w:b/>
          <w:bCs/>
          <w:szCs w:val="28"/>
        </w:rPr>
        <w:t>-</w:t>
      </w:r>
      <w:r w:rsidRPr="00CC2FC1">
        <w:rPr>
          <w:rFonts w:asciiTheme="minorBidi" w:hAnsiTheme="minorBidi"/>
          <w:b/>
          <w:bCs/>
          <w:szCs w:val="28"/>
        </w:rPr>
        <w:t xml:space="preserve"> Diode laser </w:t>
      </w:r>
    </w:p>
    <w:p w:rsidR="00505A18" w:rsidRDefault="00505A18" w:rsidP="00CC2FC1">
      <w:r w:rsidRPr="00505A18">
        <w:t>The first use of this laser in dentin hypersensitivity treatment was reported by Matsumoto et al.</w:t>
      </w:r>
      <w:r w:rsidR="00CC2FC1">
        <w:t>,</w:t>
      </w:r>
      <w:r w:rsidRPr="00505A18">
        <w:t xml:space="preserve"> </w:t>
      </w:r>
      <w:r w:rsidR="00CC2FC1">
        <w:t>(</w:t>
      </w:r>
      <w:r w:rsidRPr="00CC2FC1">
        <w:t>1985</w:t>
      </w:r>
      <w:r w:rsidR="00CC2FC1" w:rsidRPr="00CC2FC1">
        <w:t>)</w:t>
      </w:r>
      <w:r w:rsidR="00CC2FC1">
        <w:t xml:space="preserve"> which utilized t</w:t>
      </w:r>
      <w:r w:rsidRPr="00505A18">
        <w:t xml:space="preserve">hree wavelengths </w:t>
      </w:r>
      <w:r>
        <w:t xml:space="preserve">(780, 830, and 900 nm) of diode </w:t>
      </w:r>
      <w:r w:rsidRPr="00505A18">
        <w:t>for the treatment of dentin hypersensitivit</w:t>
      </w:r>
      <w:r>
        <w:t xml:space="preserve">y. </w:t>
      </w:r>
      <w:r w:rsidRPr="00505A18">
        <w:t xml:space="preserve">The laser tip has to be placed as close as possible to the tooth surface in noncontact mode. It is assumed that this type of low output power lasers mediates an analgesic effect related to depressed nerve transmission. According to physiological experiments </w:t>
      </w:r>
      <w:r>
        <w:t>using the diode</w:t>
      </w:r>
      <w:r w:rsidRPr="00505A18">
        <w:t xml:space="preserve"> laser at 830 nm, this effect is caused by blocking the depolarization of C-fiber afferents</w:t>
      </w:r>
      <w:r>
        <w:t>.</w:t>
      </w:r>
      <w:r w:rsidRPr="00505A18">
        <w:t xml:space="preserve"> </w:t>
      </w:r>
      <w:r w:rsidR="00CC2FC1">
        <w:t>The t</w:t>
      </w:r>
      <w:r w:rsidRPr="00505A18">
        <w:t>reatment effectiveness rates range from 53.3%</w:t>
      </w:r>
      <w:r w:rsidR="00CC2FC1">
        <w:t>-</w:t>
      </w:r>
      <w:r w:rsidRPr="00505A18">
        <w:t xml:space="preserve">94.2% for the </w:t>
      </w:r>
      <w:r>
        <w:t xml:space="preserve">diode </w:t>
      </w:r>
      <w:r w:rsidRPr="00505A18">
        <w:t>laser at 1month follow-up</w:t>
      </w:r>
      <w:r>
        <w:t xml:space="preserve"> </w:t>
      </w:r>
      <w:r w:rsidRPr="00505A18">
        <w:rPr>
          <w:b/>
          <w:bCs/>
        </w:rPr>
        <w:t>(Kimura, et al</w:t>
      </w:r>
      <w:r w:rsidR="00CC2FC1">
        <w:rPr>
          <w:b/>
          <w:bCs/>
        </w:rPr>
        <w:t>.,</w:t>
      </w:r>
      <w:r w:rsidRPr="00505A18">
        <w:rPr>
          <w:b/>
          <w:bCs/>
        </w:rPr>
        <w:t xml:space="preserve"> 2000)</w:t>
      </w:r>
      <w:r w:rsidR="00CC2FC1">
        <w:t>.</w:t>
      </w:r>
      <w:r>
        <w:t xml:space="preserve"> </w:t>
      </w:r>
    </w:p>
    <w:p w:rsidR="00505A18" w:rsidRPr="00CC2FC1" w:rsidRDefault="00505A18" w:rsidP="00505A18">
      <w:pPr>
        <w:rPr>
          <w:rFonts w:asciiTheme="minorBidi" w:hAnsiTheme="minorBidi"/>
          <w:b/>
          <w:bCs/>
          <w:szCs w:val="28"/>
        </w:rPr>
      </w:pPr>
      <w:r w:rsidRPr="00CC2FC1">
        <w:rPr>
          <w:rFonts w:asciiTheme="minorBidi" w:hAnsiTheme="minorBidi"/>
          <w:b/>
          <w:bCs/>
          <w:szCs w:val="28"/>
        </w:rPr>
        <w:t>2</w:t>
      </w:r>
      <w:r w:rsidR="00CC2FC1" w:rsidRPr="00CC2FC1">
        <w:rPr>
          <w:rFonts w:asciiTheme="minorBidi" w:hAnsiTheme="minorBidi"/>
          <w:b/>
          <w:bCs/>
          <w:szCs w:val="28"/>
        </w:rPr>
        <w:t>-</w:t>
      </w:r>
      <w:r w:rsidRPr="00CC2FC1">
        <w:rPr>
          <w:rFonts w:asciiTheme="minorBidi" w:hAnsiTheme="minorBidi"/>
          <w:b/>
          <w:bCs/>
          <w:szCs w:val="28"/>
        </w:rPr>
        <w:t xml:space="preserve"> CO2 laser </w:t>
      </w:r>
    </w:p>
    <w:p w:rsidR="00505A18" w:rsidRDefault="00505A18" w:rsidP="00CC2FC1">
      <w:pPr>
        <w:rPr>
          <w:b/>
          <w:bCs/>
        </w:rPr>
      </w:pPr>
      <w:r w:rsidRPr="00453CF6">
        <w:t>This laser was first used for the treatment of dentine hyp</w:t>
      </w:r>
      <w:r w:rsidR="00C8216C">
        <w:t xml:space="preserve">ersensitivity by </w:t>
      </w:r>
      <w:r w:rsidR="00C8216C" w:rsidRPr="00C8216C">
        <w:rPr>
          <w:b/>
          <w:bCs/>
        </w:rPr>
        <w:t xml:space="preserve">(Moritz et al. </w:t>
      </w:r>
      <w:r w:rsidRPr="00C8216C">
        <w:rPr>
          <w:b/>
          <w:bCs/>
        </w:rPr>
        <w:t>1996)</w:t>
      </w:r>
      <w:r w:rsidR="00453CF6" w:rsidRPr="00453CF6">
        <w:t xml:space="preserve"> </w:t>
      </w:r>
      <w:r w:rsidR="00CC2FC1">
        <w:t>using o</w:t>
      </w:r>
      <w:r w:rsidR="00453CF6" w:rsidRPr="00453CF6">
        <w:t>utput powers of 1 to 2 W with CW or pulse mode. The laser tip has to be kept on the tooth or gingival surface at a distance of 10</w:t>
      </w:r>
      <w:r w:rsidR="00CC2FC1">
        <w:t>-</w:t>
      </w:r>
      <w:r w:rsidR="00453CF6" w:rsidRPr="00453CF6">
        <w:t>20 cm and has to be scanned as quickly as possible on the tooth or gingival surface</w:t>
      </w:r>
      <w:r w:rsidR="00453CF6" w:rsidRPr="00453CF6">
        <w:rPr>
          <w:b/>
          <w:bCs/>
        </w:rPr>
        <w:t xml:space="preserve"> (Matsumoto </w:t>
      </w:r>
      <w:r w:rsidR="00CC2FC1">
        <w:rPr>
          <w:b/>
          <w:bCs/>
        </w:rPr>
        <w:t>&amp;</w:t>
      </w:r>
      <w:r w:rsidR="00453CF6" w:rsidRPr="00453CF6">
        <w:rPr>
          <w:b/>
          <w:bCs/>
        </w:rPr>
        <w:t xml:space="preserve"> Kimura, 2007</w:t>
      </w:r>
      <w:r w:rsidR="00CC2FC1" w:rsidRPr="00453CF6">
        <w:rPr>
          <w:b/>
          <w:bCs/>
        </w:rPr>
        <w:t>)</w:t>
      </w:r>
      <w:r w:rsidR="00CC2FC1">
        <w:rPr>
          <w:b/>
          <w:bCs/>
        </w:rPr>
        <w:t xml:space="preserve"> </w:t>
      </w:r>
      <w:r w:rsidR="00453CF6" w:rsidRPr="00453CF6">
        <w:t>in order to avoid thermal damage to the tooth or gingival surface. T</w:t>
      </w:r>
      <w:r w:rsidR="00CC2FC1">
        <w:t xml:space="preserve">he </w:t>
      </w:r>
      <w:r w:rsidR="00453CF6" w:rsidRPr="00453CF6">
        <w:t xml:space="preserve">effectiveness ranges from 59.8 to 100%. CO2 laser effects on dentin hypersensitivity are due to the occlusion or narrowing of dentinal tubules. There have been no reports on nerve analgesia by CO2 laser irradiation. Using the CO2 laser at moderate energy densities, mainly sealing of dentinal tubules is achieved, as well as a reduction of permeability </w:t>
      </w:r>
      <w:r w:rsidR="00453CF6" w:rsidRPr="00453CF6">
        <w:rPr>
          <w:b/>
          <w:bCs/>
        </w:rPr>
        <w:t>(</w:t>
      </w:r>
      <w:r w:rsidR="00453CF6" w:rsidRPr="00CC2FC1">
        <w:rPr>
          <w:b/>
          <w:bCs/>
        </w:rPr>
        <w:t xml:space="preserve">Matsumoto </w:t>
      </w:r>
      <w:r w:rsidR="00CC2FC1" w:rsidRPr="00CC2FC1">
        <w:rPr>
          <w:b/>
          <w:bCs/>
        </w:rPr>
        <w:t>&amp;</w:t>
      </w:r>
      <w:r w:rsidR="00453CF6" w:rsidRPr="00CC2FC1">
        <w:rPr>
          <w:b/>
          <w:bCs/>
        </w:rPr>
        <w:t xml:space="preserve"> Kimura, </w:t>
      </w:r>
      <w:r w:rsidR="00CC2FC1" w:rsidRPr="00CC2FC1">
        <w:rPr>
          <w:b/>
          <w:bCs/>
        </w:rPr>
        <w:t>2007</w:t>
      </w:r>
      <w:r w:rsidR="00CC2FC1">
        <w:rPr>
          <w:b/>
          <w:bCs/>
        </w:rPr>
        <w:t>)</w:t>
      </w:r>
      <w:r w:rsidR="00453CF6" w:rsidRPr="00CC2FC1">
        <w:t>.</w:t>
      </w:r>
    </w:p>
    <w:p w:rsidR="00453CF6" w:rsidRPr="00CC2FC1" w:rsidRDefault="00CC2FC1" w:rsidP="00505A18">
      <w:pPr>
        <w:rPr>
          <w:rFonts w:asciiTheme="minorBidi" w:hAnsiTheme="minorBidi"/>
          <w:b/>
          <w:bCs/>
          <w:szCs w:val="28"/>
        </w:rPr>
      </w:pPr>
      <w:r w:rsidRPr="00CC2FC1">
        <w:rPr>
          <w:rFonts w:asciiTheme="minorBidi" w:hAnsiTheme="minorBidi"/>
          <w:b/>
          <w:bCs/>
          <w:szCs w:val="28"/>
        </w:rPr>
        <w:t>3-</w:t>
      </w:r>
      <w:r w:rsidR="00453CF6" w:rsidRPr="00CC2FC1">
        <w:rPr>
          <w:rFonts w:asciiTheme="minorBidi" w:hAnsiTheme="minorBidi"/>
          <w:b/>
          <w:bCs/>
          <w:szCs w:val="28"/>
        </w:rPr>
        <w:t xml:space="preserve"> Neodymium: yttrium-aluminum-garnet (Nd: YAG) laser</w:t>
      </w:r>
    </w:p>
    <w:p w:rsidR="00453CF6" w:rsidRDefault="00453CF6" w:rsidP="00007136">
      <w:pPr>
        <w:rPr>
          <w:b/>
          <w:bCs/>
        </w:rPr>
      </w:pPr>
      <w:r w:rsidRPr="005E6904">
        <w:t xml:space="preserve">  The first use of this laser for treat</w:t>
      </w:r>
      <w:r w:rsidR="00CC2FC1">
        <w:t>ing the</w:t>
      </w:r>
      <w:r w:rsidRPr="005E6904">
        <w:t xml:space="preserve"> dentine hypersensitivity was reported by Matsumoto et al. (1985). </w:t>
      </w:r>
      <w:r w:rsidR="005E6904" w:rsidRPr="005E6904">
        <w:t>A power output from 0.3 to 2 W is usually used. Continuous or pulsed wavelength is used and the number of the pulses is from 10</w:t>
      </w:r>
      <w:r w:rsidR="00CC2FC1">
        <w:t>-</w:t>
      </w:r>
      <w:r w:rsidR="005E6904" w:rsidRPr="005E6904">
        <w:t>20 Hz</w:t>
      </w:r>
      <w:r w:rsidR="005E6904">
        <w:t xml:space="preserve"> </w:t>
      </w:r>
      <w:r w:rsidR="005E6904" w:rsidRPr="00453CF6">
        <w:rPr>
          <w:b/>
          <w:bCs/>
        </w:rPr>
        <w:t>(Kimura, et al</w:t>
      </w:r>
      <w:r w:rsidR="00007136">
        <w:rPr>
          <w:b/>
          <w:bCs/>
        </w:rPr>
        <w:t>.,</w:t>
      </w:r>
      <w:r w:rsidR="005E6904" w:rsidRPr="00453CF6">
        <w:rPr>
          <w:b/>
          <w:bCs/>
        </w:rPr>
        <w:t xml:space="preserve"> 2000)</w:t>
      </w:r>
      <w:r w:rsidR="005E6904" w:rsidRPr="00007136">
        <w:t>.</w:t>
      </w:r>
      <w:r w:rsidR="005E6904">
        <w:rPr>
          <w:b/>
          <w:bCs/>
        </w:rPr>
        <w:t xml:space="preserve"> </w:t>
      </w:r>
      <w:r w:rsidR="00007136">
        <w:t>T</w:t>
      </w:r>
      <w:r w:rsidR="005E6904" w:rsidRPr="005E6904">
        <w:t xml:space="preserve">he use of </w:t>
      </w:r>
      <w:r w:rsidR="005E6904" w:rsidRPr="00007136">
        <w:t>Chinese</w:t>
      </w:r>
      <w:r w:rsidR="00007136" w:rsidRPr="00007136">
        <w:t xml:space="preserve"> </w:t>
      </w:r>
      <w:r w:rsidR="005E6904" w:rsidRPr="005E6904">
        <w:t xml:space="preserve">black ink as an absorption enhancer is recommended, to prevent deep penetration of the Nd:YAG laser beam through the enamel and dentin and excessive effects in the pulp. Without </w:t>
      </w:r>
      <w:r w:rsidR="00007136">
        <w:t>using this</w:t>
      </w:r>
      <w:r w:rsidR="005E6904" w:rsidRPr="005E6904">
        <w:t xml:space="preserve"> ink, the laser tip has to be held over the tooth surface at a distance of approximately 10</w:t>
      </w:r>
      <w:r w:rsidR="00007136">
        <w:t>-</w:t>
      </w:r>
      <w:r w:rsidR="005E6904" w:rsidRPr="005E6904">
        <w:t>20 cm. When Chinese black ink is used, the laser tip has to be kept close to the tooth or gingival surface in noncontact mode, and has to be scanned as quickly as possible over the tooth or gingival surface in order to avoid thermal damage to the tooth or gingival surface</w:t>
      </w:r>
      <w:r w:rsidR="005E6904">
        <w:t xml:space="preserve"> </w:t>
      </w:r>
      <w:r w:rsidR="005E6904" w:rsidRPr="00453CF6">
        <w:rPr>
          <w:b/>
          <w:bCs/>
        </w:rPr>
        <w:t xml:space="preserve">(Matsumoto </w:t>
      </w:r>
      <w:r w:rsidR="00007136">
        <w:rPr>
          <w:b/>
          <w:bCs/>
        </w:rPr>
        <w:t>&amp;</w:t>
      </w:r>
      <w:r w:rsidR="005E6904" w:rsidRPr="00453CF6">
        <w:rPr>
          <w:b/>
          <w:bCs/>
        </w:rPr>
        <w:t xml:space="preserve"> Kimura, 2007</w:t>
      </w:r>
      <w:r w:rsidR="005E6904" w:rsidRPr="00007136">
        <w:rPr>
          <w:b/>
          <w:bCs/>
        </w:rPr>
        <w:t>)</w:t>
      </w:r>
      <w:r w:rsidR="00007136" w:rsidRPr="00007136">
        <w:t>. The</w:t>
      </w:r>
      <w:r w:rsidR="005E6904">
        <w:rPr>
          <w:b/>
          <w:bCs/>
        </w:rPr>
        <w:t xml:space="preserve"> </w:t>
      </w:r>
      <w:r w:rsidR="005E6904" w:rsidRPr="005E6904">
        <w:t>effectiveness ranged from 5.2 to 100%. The mechanism of Nd:YAG laser effects on dentin hypersensitivity is thought to be the laser-induced occlusion or narrowing of dentinal tubules</w:t>
      </w:r>
      <w:r w:rsidR="005E6904">
        <w:t xml:space="preserve"> </w:t>
      </w:r>
      <w:r w:rsidR="005E6904" w:rsidRPr="005E6904">
        <w:rPr>
          <w:b/>
          <w:bCs/>
        </w:rPr>
        <w:t>( Lan &amp; Lui</w:t>
      </w:r>
      <w:r w:rsidR="00007136">
        <w:rPr>
          <w:b/>
          <w:bCs/>
        </w:rPr>
        <w:t>,</w:t>
      </w:r>
      <w:r w:rsidR="005E6904" w:rsidRPr="005E6904">
        <w:rPr>
          <w:b/>
          <w:bCs/>
        </w:rPr>
        <w:t xml:space="preserve"> 1996)</w:t>
      </w:r>
      <w:r w:rsidR="005E6904">
        <w:rPr>
          <w:b/>
          <w:bCs/>
        </w:rPr>
        <w:t xml:space="preserve"> </w:t>
      </w:r>
      <w:r w:rsidR="005E6904" w:rsidRPr="005E6904">
        <w:t>as well as direct nerve analgesia</w:t>
      </w:r>
      <w:r w:rsidR="005E6904">
        <w:t xml:space="preserve"> </w:t>
      </w:r>
      <w:r w:rsidR="005E6904" w:rsidRPr="005E6904">
        <w:rPr>
          <w:b/>
          <w:bCs/>
        </w:rPr>
        <w:t>(Whitters, 1995)</w:t>
      </w:r>
      <w:r w:rsidR="00007136">
        <w:rPr>
          <w:b/>
          <w:bCs/>
        </w:rPr>
        <w:t>.</w:t>
      </w:r>
      <w:r w:rsidR="005E6904">
        <w:rPr>
          <w:b/>
          <w:bCs/>
        </w:rPr>
        <w:t xml:space="preserve"> </w:t>
      </w:r>
      <w:r w:rsidR="005E6904" w:rsidRPr="005E6904">
        <w:t>Nd:YAG and CO2 lasers effectively cause occlusion of dentinal tubules</w:t>
      </w:r>
      <w:r w:rsidR="005E6904">
        <w:t xml:space="preserve"> </w:t>
      </w:r>
      <w:r w:rsidR="005E6904" w:rsidRPr="00453CF6">
        <w:rPr>
          <w:b/>
          <w:bCs/>
        </w:rPr>
        <w:t>(Kimura, et al</w:t>
      </w:r>
      <w:r w:rsidR="00007136">
        <w:rPr>
          <w:b/>
          <w:bCs/>
        </w:rPr>
        <w:t>.,</w:t>
      </w:r>
      <w:r w:rsidR="005E6904" w:rsidRPr="00453CF6">
        <w:rPr>
          <w:b/>
          <w:bCs/>
        </w:rPr>
        <w:t xml:space="preserve"> 2000)</w:t>
      </w:r>
      <w:r w:rsidR="005E6904">
        <w:rPr>
          <w:b/>
          <w:bCs/>
        </w:rPr>
        <w:t>.</w:t>
      </w:r>
    </w:p>
    <w:p w:rsidR="005E6904" w:rsidRPr="00007136" w:rsidRDefault="005E6904" w:rsidP="00505A18">
      <w:pPr>
        <w:rPr>
          <w:rFonts w:asciiTheme="minorBidi" w:hAnsiTheme="minorBidi"/>
          <w:b/>
          <w:bCs/>
          <w:szCs w:val="28"/>
        </w:rPr>
      </w:pPr>
      <w:r w:rsidRPr="00007136">
        <w:rPr>
          <w:rFonts w:asciiTheme="minorBidi" w:hAnsiTheme="minorBidi"/>
          <w:b/>
          <w:bCs/>
          <w:szCs w:val="28"/>
        </w:rPr>
        <w:t>4</w:t>
      </w:r>
      <w:r w:rsidR="00007136" w:rsidRPr="00007136">
        <w:rPr>
          <w:rFonts w:asciiTheme="minorBidi" w:hAnsiTheme="minorBidi"/>
          <w:b/>
          <w:bCs/>
          <w:szCs w:val="28"/>
        </w:rPr>
        <w:t>-</w:t>
      </w:r>
      <w:r w:rsidRPr="00007136">
        <w:rPr>
          <w:rFonts w:asciiTheme="minorBidi" w:hAnsiTheme="minorBidi"/>
          <w:b/>
          <w:bCs/>
          <w:szCs w:val="28"/>
        </w:rPr>
        <w:t xml:space="preserve"> </w:t>
      </w:r>
      <w:r w:rsidR="00007136" w:rsidRPr="00007136">
        <w:rPr>
          <w:rFonts w:asciiTheme="minorBidi" w:hAnsiTheme="minorBidi"/>
          <w:b/>
          <w:bCs/>
          <w:szCs w:val="28"/>
        </w:rPr>
        <w:t>Er: YAG</w:t>
      </w:r>
      <w:r w:rsidRPr="00007136">
        <w:rPr>
          <w:rFonts w:asciiTheme="minorBidi" w:hAnsiTheme="minorBidi"/>
          <w:b/>
          <w:bCs/>
          <w:szCs w:val="28"/>
        </w:rPr>
        <w:t xml:space="preserve"> Laser </w:t>
      </w:r>
    </w:p>
    <w:p w:rsidR="005E6904" w:rsidRDefault="005E6904" w:rsidP="00007136">
      <w:pPr>
        <w:rPr>
          <w:b/>
          <w:bCs/>
        </w:rPr>
      </w:pPr>
      <w:r w:rsidRPr="005E6904">
        <w:t>This type of laser is suitable for caries treatment but endodontic and periodontic applications have also been studied. It was first used for DH therapy by</w:t>
      </w:r>
      <w:r w:rsidR="00131DF1">
        <w:t xml:space="preserve"> </w:t>
      </w:r>
      <w:r w:rsidR="00131DF1" w:rsidRPr="00131DF1">
        <w:rPr>
          <w:b/>
          <w:bCs/>
        </w:rPr>
        <w:t>(</w:t>
      </w:r>
      <w:r w:rsidRPr="00131DF1">
        <w:rPr>
          <w:b/>
          <w:bCs/>
        </w:rPr>
        <w:t>Schwarz et al</w:t>
      </w:r>
      <w:r w:rsidR="00007136" w:rsidRPr="00131DF1">
        <w:rPr>
          <w:b/>
          <w:bCs/>
        </w:rPr>
        <w:t>.,</w:t>
      </w:r>
      <w:r w:rsidR="00131DF1" w:rsidRPr="00131DF1">
        <w:rPr>
          <w:b/>
          <w:bCs/>
        </w:rPr>
        <w:t xml:space="preserve"> </w:t>
      </w:r>
      <w:r w:rsidRPr="00131DF1">
        <w:rPr>
          <w:b/>
          <w:bCs/>
        </w:rPr>
        <w:t>2002</w:t>
      </w:r>
      <w:r>
        <w:t xml:space="preserve">). </w:t>
      </w:r>
      <w:r w:rsidRPr="005E6904">
        <w:t>The parameters of Er:YAG laser irradiation for DH therapy are 1 W and 10-12 Hz for less than 60 s. In order to prevent damage to the tooth and gingival surface, the distance of the laser tip to tooth surface has to be kept more than 10 cm. The laser tip has to be quickly scanned across the tooth or gingival surface to prevent laser damage on the tooth or gingival surface</w:t>
      </w:r>
      <w:r>
        <w:t xml:space="preserve"> </w:t>
      </w:r>
      <w:r w:rsidRPr="00453CF6">
        <w:rPr>
          <w:b/>
          <w:bCs/>
        </w:rPr>
        <w:t xml:space="preserve">(Matsumoto </w:t>
      </w:r>
      <w:r w:rsidR="00007136">
        <w:rPr>
          <w:b/>
          <w:bCs/>
        </w:rPr>
        <w:t>&amp;</w:t>
      </w:r>
      <w:r w:rsidRPr="00453CF6">
        <w:rPr>
          <w:b/>
          <w:bCs/>
        </w:rPr>
        <w:t xml:space="preserve"> Kimura, 2007)</w:t>
      </w:r>
      <w:r w:rsidRPr="00007136">
        <w:t>.</w:t>
      </w:r>
      <w:r w:rsidRPr="00414A42">
        <w:t xml:space="preserve"> The reduction in DH </w:t>
      </w:r>
      <w:r w:rsidR="00007136">
        <w:t>after</w:t>
      </w:r>
      <w:r w:rsidRPr="00414A42">
        <w:t xml:space="preserve"> 6 months with the Er:YAG laser reportedly ranges from 38.2%</w:t>
      </w:r>
      <w:r w:rsidR="00007136">
        <w:t>-</w:t>
      </w:r>
      <w:r w:rsidRPr="00414A42">
        <w:t>47%</w:t>
      </w:r>
      <w:r w:rsidR="00414A42">
        <w:t xml:space="preserve"> </w:t>
      </w:r>
      <w:r w:rsidR="00414A42" w:rsidRPr="00007136">
        <w:rPr>
          <w:b/>
          <w:bCs/>
        </w:rPr>
        <w:t>(Whitters, et al 1995)</w:t>
      </w:r>
      <w:r w:rsidR="00007136" w:rsidRPr="00007136">
        <w:t>.</w:t>
      </w:r>
      <w:r w:rsidR="00414A42">
        <w:t xml:space="preserve"> </w:t>
      </w:r>
      <w:r w:rsidR="00414A42" w:rsidRPr="00414A42">
        <w:t>However there are a lot of ambiguous points in mechanism of Er:YAG</w:t>
      </w:r>
      <w:r w:rsidR="00007136">
        <w:t>,</w:t>
      </w:r>
      <w:r w:rsidR="00414A42" w:rsidRPr="00414A42">
        <w:t xml:space="preserve"> as this laser is absorbed by hydroxyapatite’s water molecules, which can cause dentin surface ablation and is opposite to the sealing of the dentinal tubules</w:t>
      </w:r>
      <w:r w:rsidR="00414A42">
        <w:t xml:space="preserve"> </w:t>
      </w:r>
      <w:r w:rsidR="00414A42" w:rsidRPr="00414A42">
        <w:rPr>
          <w:b/>
          <w:bCs/>
        </w:rPr>
        <w:t>(Borges et al</w:t>
      </w:r>
      <w:r w:rsidR="00007136">
        <w:rPr>
          <w:b/>
          <w:bCs/>
        </w:rPr>
        <w:t>.,</w:t>
      </w:r>
      <w:r w:rsidR="00414A42" w:rsidRPr="00414A42">
        <w:rPr>
          <w:b/>
          <w:bCs/>
        </w:rPr>
        <w:t xml:space="preserve"> 2012)</w:t>
      </w:r>
      <w:r w:rsidR="00007136" w:rsidRPr="00007136">
        <w:t>.</w:t>
      </w:r>
      <w:r w:rsidR="00414A42">
        <w:t xml:space="preserve"> </w:t>
      </w:r>
      <w:r w:rsidR="00414A42" w:rsidRPr="00414A42">
        <w:t>According to Kimura, Nd:YAG laser is more effective than Er:YAG laser</w:t>
      </w:r>
      <w:r w:rsidR="00414A42">
        <w:t xml:space="preserve"> </w:t>
      </w:r>
      <w:r w:rsidR="00414A42" w:rsidRPr="00453CF6">
        <w:rPr>
          <w:b/>
          <w:bCs/>
        </w:rPr>
        <w:t xml:space="preserve">(Matsumoto </w:t>
      </w:r>
      <w:r w:rsidR="00007136">
        <w:rPr>
          <w:b/>
          <w:bCs/>
        </w:rPr>
        <w:t>&amp;</w:t>
      </w:r>
      <w:r w:rsidR="00414A42" w:rsidRPr="00453CF6">
        <w:rPr>
          <w:b/>
          <w:bCs/>
        </w:rPr>
        <w:t xml:space="preserve"> Kimura, 2007)</w:t>
      </w:r>
      <w:r w:rsidR="0029512F">
        <w:t>.</w:t>
      </w:r>
      <w:r w:rsidR="00414A42">
        <w:rPr>
          <w:b/>
          <w:bCs/>
        </w:rPr>
        <w:t xml:space="preserve"> </w:t>
      </w:r>
    </w:p>
    <w:p w:rsidR="00414A42" w:rsidRPr="00007136" w:rsidRDefault="00414A42" w:rsidP="00007136">
      <w:pPr>
        <w:rPr>
          <w:rFonts w:asciiTheme="minorBidi" w:hAnsiTheme="minorBidi"/>
          <w:b/>
          <w:bCs/>
          <w:szCs w:val="28"/>
        </w:rPr>
      </w:pPr>
      <w:r w:rsidRPr="00007136">
        <w:rPr>
          <w:rFonts w:asciiTheme="minorBidi" w:hAnsiTheme="minorBidi"/>
          <w:b/>
          <w:bCs/>
          <w:szCs w:val="28"/>
        </w:rPr>
        <w:t>5</w:t>
      </w:r>
      <w:r w:rsidR="00007136">
        <w:rPr>
          <w:rFonts w:asciiTheme="minorBidi" w:hAnsiTheme="minorBidi"/>
          <w:b/>
          <w:bCs/>
          <w:szCs w:val="28"/>
        </w:rPr>
        <w:t>-</w:t>
      </w:r>
      <w:r w:rsidRPr="00007136">
        <w:rPr>
          <w:rFonts w:asciiTheme="minorBidi" w:hAnsiTheme="minorBidi"/>
          <w:b/>
          <w:bCs/>
          <w:szCs w:val="28"/>
        </w:rPr>
        <w:t xml:space="preserve"> Er,</w:t>
      </w:r>
      <w:r w:rsidR="00007136">
        <w:rPr>
          <w:rFonts w:asciiTheme="minorBidi" w:hAnsiTheme="minorBidi"/>
          <w:b/>
          <w:bCs/>
          <w:szCs w:val="28"/>
        </w:rPr>
        <w:t xml:space="preserve"> </w:t>
      </w:r>
      <w:r w:rsidRPr="00007136">
        <w:rPr>
          <w:rFonts w:asciiTheme="minorBidi" w:hAnsiTheme="minorBidi"/>
          <w:b/>
          <w:bCs/>
          <w:szCs w:val="28"/>
        </w:rPr>
        <w:t>Cr:YSGG Lasers</w:t>
      </w:r>
    </w:p>
    <w:p w:rsidR="00414A42" w:rsidRDefault="00414A42" w:rsidP="00007136">
      <w:r w:rsidRPr="00414A42">
        <w:t xml:space="preserve">   The Er,</w:t>
      </w:r>
      <w:r w:rsidR="00007136">
        <w:t xml:space="preserve"> </w:t>
      </w:r>
      <w:r w:rsidRPr="00414A42">
        <w:t>Cr:YSGG laser has been shown to be effective for soft-tissue surgery as well as for cutting enamel, dentine and bone. However, there is limited knowledge on the effects of this laser on DH and few studies have been published concerning the clinical aspects of the desensitizing effect obtained with the Er,Cr:YSGG laser. The output power used for DH therapy varies from 0.25 to 0.5 W</w:t>
      </w:r>
      <w:r>
        <w:t xml:space="preserve"> </w:t>
      </w:r>
      <w:r w:rsidRPr="00414A42">
        <w:rPr>
          <w:b/>
          <w:bCs/>
        </w:rPr>
        <w:t xml:space="preserve">(Aranha </w:t>
      </w:r>
      <w:r w:rsidR="00007136">
        <w:rPr>
          <w:b/>
          <w:bCs/>
        </w:rPr>
        <w:t>&amp;</w:t>
      </w:r>
      <w:r w:rsidRPr="00414A42">
        <w:rPr>
          <w:b/>
          <w:bCs/>
        </w:rPr>
        <w:t xml:space="preserve"> Eduardo</w:t>
      </w:r>
      <w:r w:rsidR="00007136">
        <w:rPr>
          <w:b/>
          <w:bCs/>
        </w:rPr>
        <w:t>,</w:t>
      </w:r>
      <w:r w:rsidRPr="00414A42">
        <w:rPr>
          <w:b/>
          <w:bCs/>
        </w:rPr>
        <w:t xml:space="preserve"> 2012</w:t>
      </w:r>
      <w:r>
        <w:t xml:space="preserve">). </w:t>
      </w:r>
      <w:r w:rsidR="00131DF1" w:rsidRPr="00131DF1">
        <w:rPr>
          <w:b/>
          <w:bCs/>
        </w:rPr>
        <w:t>(</w:t>
      </w:r>
      <w:r w:rsidRPr="00131DF1">
        <w:rPr>
          <w:b/>
          <w:bCs/>
        </w:rPr>
        <w:t>Yilmaz et al.</w:t>
      </w:r>
      <w:r w:rsidR="00131DF1" w:rsidRPr="00131DF1">
        <w:rPr>
          <w:b/>
          <w:bCs/>
        </w:rPr>
        <w:t xml:space="preserve"> </w:t>
      </w:r>
      <w:r w:rsidRPr="00131DF1">
        <w:rPr>
          <w:b/>
          <w:bCs/>
        </w:rPr>
        <w:t>2011</w:t>
      </w:r>
      <w:r w:rsidR="0029512F" w:rsidRPr="00131DF1">
        <w:rPr>
          <w:b/>
          <w:bCs/>
        </w:rPr>
        <w:t>)</w:t>
      </w:r>
      <w:r w:rsidR="0029512F">
        <w:t xml:space="preserve"> </w:t>
      </w:r>
      <w:r w:rsidR="0029512F" w:rsidRPr="00414A42">
        <w:t>demonstrated</w:t>
      </w:r>
      <w:r w:rsidRPr="00414A42">
        <w:t xml:space="preserve"> that the single application of Er,Cr:YSGG laser has shown efficacy in rapid DH reduction compared with placebo treatment. This effect has become apparent immediately, and it remained stable for a 3-month examination period</w:t>
      </w:r>
      <w:r>
        <w:t xml:space="preserve">. </w:t>
      </w:r>
      <w:r w:rsidRPr="00414A42">
        <w:t>Based on the results of a Short-term clinical evaluation which compared the effects of Er:YAG and Er,Cr:YSGG lasers on DH, the Er,Cr:YSGG laser at a power of 0.25 W showed the best performance in the clinical evaluations</w:t>
      </w:r>
      <w:r>
        <w:t xml:space="preserve"> </w:t>
      </w:r>
      <w:r w:rsidRPr="00414A42">
        <w:rPr>
          <w:b/>
          <w:bCs/>
        </w:rPr>
        <w:t xml:space="preserve">(Aranha </w:t>
      </w:r>
      <w:r w:rsidR="00007136">
        <w:rPr>
          <w:b/>
          <w:bCs/>
        </w:rPr>
        <w:t>&amp;</w:t>
      </w:r>
      <w:r w:rsidRPr="00414A42">
        <w:rPr>
          <w:b/>
          <w:bCs/>
        </w:rPr>
        <w:t xml:space="preserve"> Eduardo</w:t>
      </w:r>
      <w:r w:rsidR="00007136">
        <w:rPr>
          <w:b/>
          <w:bCs/>
        </w:rPr>
        <w:t>,</w:t>
      </w:r>
      <w:r w:rsidRPr="00414A42">
        <w:rPr>
          <w:b/>
          <w:bCs/>
        </w:rPr>
        <w:t xml:space="preserve"> 2012</w:t>
      </w:r>
      <w:r w:rsidRPr="00007136">
        <w:rPr>
          <w:b/>
          <w:bCs/>
        </w:rPr>
        <w:t>)</w:t>
      </w:r>
      <w:r>
        <w:t>.</w:t>
      </w:r>
    </w:p>
    <w:p w:rsidR="00007136" w:rsidRDefault="000B2AFB" w:rsidP="00007136">
      <w:r w:rsidRPr="000B2AFB">
        <w:t xml:space="preserve">Although in-office root-DH laser treatment has some disadvantages as high cost, complexity of </w:t>
      </w:r>
      <w:r w:rsidR="00007136" w:rsidRPr="000B2AFB">
        <w:t>equipment,</w:t>
      </w:r>
      <w:r w:rsidRPr="000B2AFB">
        <w:t xml:space="preserve"> decreasing effectiveness over time and the possibility of hazard exposure, however, combination of laser treatment with chemical agents as sodium fluoride and stannous fluoride can enhance treatment effectiveness by more than 20% over that of laser treatment alone, hence achieving promising results that out-weights the disadvantages </w:t>
      </w:r>
      <w:r w:rsidR="00274728">
        <w:rPr>
          <w:b/>
          <w:bCs/>
        </w:rPr>
        <w:t>(</w:t>
      </w:r>
      <w:r w:rsidR="00274728" w:rsidRPr="00274728">
        <w:rPr>
          <w:rFonts w:asciiTheme="majorBidi" w:hAnsiTheme="majorBidi" w:cstheme="majorBidi"/>
          <w:b/>
          <w:bCs/>
          <w:szCs w:val="28"/>
        </w:rPr>
        <w:t>Lan, &amp; Lui</w:t>
      </w:r>
      <w:r w:rsidR="00274728" w:rsidRPr="00131DF1">
        <w:rPr>
          <w:rFonts w:asciiTheme="majorBidi" w:hAnsiTheme="majorBidi" w:cstheme="majorBidi"/>
          <w:szCs w:val="28"/>
        </w:rPr>
        <w:t>,</w:t>
      </w:r>
      <w:r w:rsidR="00274728">
        <w:rPr>
          <w:b/>
          <w:bCs/>
        </w:rPr>
        <w:t>, 1996</w:t>
      </w:r>
      <w:r w:rsidR="00007136">
        <w:rPr>
          <w:b/>
          <w:bCs/>
        </w:rPr>
        <w:t>)</w:t>
      </w:r>
      <w:r w:rsidRPr="00007136">
        <w:t>.</w:t>
      </w:r>
      <w:r w:rsidRPr="000B2AFB">
        <w:t xml:space="preserve"> </w:t>
      </w:r>
      <w:r w:rsidR="00007136">
        <w:t>The</w:t>
      </w:r>
      <w:r w:rsidRPr="000B2AFB">
        <w:t xml:space="preserve"> combination of Nd: YAG laser and 5% NaF varnish showed an impressive efficacy </w:t>
      </w:r>
      <w:r w:rsidRPr="00007136">
        <w:rPr>
          <w:b/>
          <w:bCs/>
        </w:rPr>
        <w:t xml:space="preserve">(Kumar </w:t>
      </w:r>
      <w:r w:rsidR="00007136" w:rsidRPr="00007136">
        <w:rPr>
          <w:b/>
          <w:bCs/>
        </w:rPr>
        <w:t>&amp;</w:t>
      </w:r>
      <w:r w:rsidRPr="00007136">
        <w:rPr>
          <w:b/>
          <w:bCs/>
        </w:rPr>
        <w:t xml:space="preserve"> Mehta, 2005)</w:t>
      </w:r>
      <w:r w:rsidRPr="000B2AFB">
        <w:t xml:space="preserve">. In addition, CO2 laser irradiation through a layer of stannous fluoride causes a highly resistant layer on sensitized dentin. This layer induced by physical and chemical bonding mechanisms, providing a superior </w:t>
      </w:r>
      <w:r w:rsidR="00007136" w:rsidRPr="000B2AFB">
        <w:t>defense</w:t>
      </w:r>
      <w:r w:rsidRPr="000B2AFB">
        <w:t xml:space="preserve"> against external stimuli </w:t>
      </w:r>
      <w:r w:rsidR="00274728">
        <w:rPr>
          <w:b/>
          <w:bCs/>
        </w:rPr>
        <w:t>(Goharkhay et al., 2007</w:t>
      </w:r>
      <w:r w:rsidRPr="000B2AFB">
        <w:rPr>
          <w:b/>
          <w:bCs/>
        </w:rPr>
        <w:t>)</w:t>
      </w:r>
      <w:r w:rsidRPr="00007136">
        <w:t>.</w:t>
      </w:r>
      <w:r w:rsidRPr="000B2AFB">
        <w:t xml:space="preserve"> </w:t>
      </w:r>
    </w:p>
    <w:p w:rsidR="00042E6A" w:rsidRPr="00BE5828" w:rsidRDefault="00042E6A" w:rsidP="00007136">
      <w:pPr>
        <w:pStyle w:val="Heading1"/>
        <w:rPr>
          <w:color w:val="1F3864" w:themeColor="accent5" w:themeShade="80"/>
        </w:rPr>
      </w:pPr>
      <w:r w:rsidRPr="00BE5828">
        <w:rPr>
          <w:color w:val="1F3864" w:themeColor="accent5" w:themeShade="80"/>
        </w:rPr>
        <w:t>Restorative material</w:t>
      </w:r>
      <w:r w:rsidR="001B6884" w:rsidRPr="00BE5828">
        <w:rPr>
          <w:color w:val="1F3864" w:themeColor="accent5" w:themeShade="80"/>
        </w:rPr>
        <w:t>s</w:t>
      </w:r>
      <w:r w:rsidRPr="00BE5828">
        <w:rPr>
          <w:color w:val="1F3864" w:themeColor="accent5" w:themeShade="80"/>
        </w:rPr>
        <w:t xml:space="preserve"> </w:t>
      </w:r>
    </w:p>
    <w:p w:rsidR="00870C7C" w:rsidRDefault="00042E6A" w:rsidP="00870C7C">
      <w:pPr>
        <w:rPr>
          <w:b/>
          <w:bCs/>
        </w:rPr>
      </w:pPr>
      <w:r w:rsidRPr="00D47E57">
        <w:t xml:space="preserve"> </w:t>
      </w:r>
      <w:r w:rsidR="001B6884">
        <w:t>The use of d</w:t>
      </w:r>
      <w:r w:rsidR="00D47E57" w:rsidRPr="00D47E57">
        <w:t>irect restoration</w:t>
      </w:r>
      <w:r w:rsidR="001B6884">
        <w:t>s</w:t>
      </w:r>
      <w:r w:rsidR="00D47E57" w:rsidRPr="00D47E57">
        <w:t xml:space="preserve"> </w:t>
      </w:r>
      <w:r w:rsidR="001B6884">
        <w:t xml:space="preserve">for </w:t>
      </w:r>
      <w:r w:rsidR="00D47E57" w:rsidRPr="00D47E57">
        <w:t>hard tissue defects</w:t>
      </w:r>
      <w:r w:rsidR="00D47E57">
        <w:t xml:space="preserve"> </w:t>
      </w:r>
      <w:r w:rsidR="00D47E57" w:rsidRPr="00D47E57">
        <w:t>provide an alternative treatment for</w:t>
      </w:r>
      <w:r w:rsidR="001B6884">
        <w:t xml:space="preserve"> the</w:t>
      </w:r>
      <w:r w:rsidR="00D47E57" w:rsidRPr="00D47E57">
        <w:t xml:space="preserve"> DHS</w:t>
      </w:r>
      <w:r w:rsidR="00D47E57">
        <w:t>.</w:t>
      </w:r>
      <w:r w:rsidR="00D47E57" w:rsidRPr="00D47E57">
        <w:t xml:space="preserve"> For </w:t>
      </w:r>
      <w:r w:rsidR="001B6884">
        <w:t xml:space="preserve">the </w:t>
      </w:r>
      <w:r w:rsidR="00D47E57" w:rsidRPr="00D47E57">
        <w:t xml:space="preserve">erosion or </w:t>
      </w:r>
      <w:r w:rsidR="00D47E57">
        <w:t>abrasion related DHS, it is be</w:t>
      </w:r>
      <w:r w:rsidR="00D47E57" w:rsidRPr="00D47E57">
        <w:t>lieved that direct restoration with resin based composite or glass ionomer</w:t>
      </w:r>
      <w:r w:rsidR="00870C7C">
        <w:t xml:space="preserve"> cement</w:t>
      </w:r>
      <w:r w:rsidR="00D47E57" w:rsidRPr="00D47E57">
        <w:t xml:space="preserve"> and indirect restoration</w:t>
      </w:r>
      <w:r w:rsidR="00870C7C">
        <w:t>s</w:t>
      </w:r>
      <w:r w:rsidR="00D47E57" w:rsidRPr="00D47E57">
        <w:t xml:space="preserve"> with a crown or a veneer provide effective long-lasting treatment for DHS</w:t>
      </w:r>
      <w:r w:rsidR="00D47E57">
        <w:t xml:space="preserve"> </w:t>
      </w:r>
      <w:r w:rsidR="00D47E57" w:rsidRPr="00870C7C">
        <w:rPr>
          <w:b/>
          <w:bCs/>
        </w:rPr>
        <w:t>(Gillam</w:t>
      </w:r>
      <w:r w:rsidR="00870C7C" w:rsidRPr="00870C7C">
        <w:rPr>
          <w:b/>
          <w:bCs/>
        </w:rPr>
        <w:t>,</w:t>
      </w:r>
      <w:r w:rsidR="00D47E57" w:rsidRPr="00870C7C">
        <w:rPr>
          <w:b/>
          <w:bCs/>
        </w:rPr>
        <w:t xml:space="preserve"> 2017)</w:t>
      </w:r>
    </w:p>
    <w:p w:rsidR="00870C7C" w:rsidRDefault="00870C7C" w:rsidP="00870C7C">
      <w:r>
        <w:t>D</w:t>
      </w:r>
      <w:r w:rsidR="00D47E57">
        <w:t xml:space="preserve">irect </w:t>
      </w:r>
      <w:r w:rsidR="00D47E57" w:rsidRPr="00D47E57">
        <w:t>rest</w:t>
      </w:r>
      <w:r w:rsidR="00D47E57">
        <w:t xml:space="preserve">orations are </w:t>
      </w:r>
      <w:r>
        <w:t>considered in the following conditions:</w:t>
      </w:r>
    </w:p>
    <w:p w:rsidR="00870C7C" w:rsidRDefault="00870C7C" w:rsidP="00870C7C">
      <w:pPr>
        <w:pStyle w:val="ListParagraph"/>
        <w:numPr>
          <w:ilvl w:val="0"/>
          <w:numId w:val="12"/>
        </w:numPr>
      </w:pPr>
      <w:r w:rsidRPr="00870C7C">
        <w:t>Failure to resolve DHS using non-restorative treatment</w:t>
      </w:r>
      <w:r>
        <w:t xml:space="preserve"> approaches.</w:t>
      </w:r>
    </w:p>
    <w:p w:rsidR="00870C7C" w:rsidRPr="00870C7C" w:rsidRDefault="00870C7C" w:rsidP="00870C7C">
      <w:pPr>
        <w:pStyle w:val="ListParagraph"/>
        <w:numPr>
          <w:ilvl w:val="0"/>
          <w:numId w:val="12"/>
        </w:numPr>
      </w:pPr>
      <w:r w:rsidRPr="00870C7C">
        <w:t>High risk for continued dental tissue loss if not covered with restoration (inability to halt erosive or abrasive tooth wear)</w:t>
      </w:r>
      <w:r>
        <w:t>.</w:t>
      </w:r>
      <w:r w:rsidRPr="00870C7C">
        <w:rPr>
          <w:rFonts w:asciiTheme="majorBidi" w:hAnsiTheme="majorBidi" w:cstheme="majorBidi"/>
          <w:szCs w:val="28"/>
        </w:rPr>
        <w:t xml:space="preserve"> </w:t>
      </w:r>
    </w:p>
    <w:p w:rsidR="00870C7C" w:rsidRDefault="00870C7C" w:rsidP="00870C7C">
      <w:pPr>
        <w:pStyle w:val="ListParagraph"/>
        <w:numPr>
          <w:ilvl w:val="0"/>
          <w:numId w:val="12"/>
        </w:numPr>
      </w:pPr>
      <w:r w:rsidRPr="00870C7C">
        <w:t>Hard tissue defect that is visible and requires restoration for esthetics and structural integrity</w:t>
      </w:r>
      <w:r>
        <w:t>.</w:t>
      </w:r>
      <w:r w:rsidRPr="00870C7C">
        <w:t xml:space="preserve"> </w:t>
      </w:r>
    </w:p>
    <w:p w:rsidR="00042E6A" w:rsidRDefault="00870C7C" w:rsidP="00870C7C">
      <w:pPr>
        <w:pStyle w:val="ListParagraph"/>
        <w:numPr>
          <w:ilvl w:val="0"/>
          <w:numId w:val="12"/>
        </w:numPr>
      </w:pPr>
      <w:r w:rsidRPr="00870C7C">
        <w:t>Little or no removal of tooth structure is require</w:t>
      </w:r>
      <w:r>
        <w:t>d</w:t>
      </w:r>
      <w:r w:rsidRPr="00870C7C">
        <w:t xml:space="preserve"> for restoration</w:t>
      </w:r>
      <w:r>
        <w:t>.</w:t>
      </w:r>
    </w:p>
    <w:p w:rsidR="00453CF6" w:rsidRPr="00870C7C" w:rsidRDefault="006761EB" w:rsidP="00870C7C">
      <w:pPr>
        <w:pStyle w:val="ListParagraph"/>
        <w:numPr>
          <w:ilvl w:val="0"/>
          <w:numId w:val="14"/>
        </w:numPr>
        <w:ind w:left="0" w:firstLine="0"/>
        <w:rPr>
          <w:rFonts w:asciiTheme="minorBidi" w:hAnsiTheme="minorBidi"/>
          <w:b/>
          <w:bCs/>
          <w:szCs w:val="28"/>
        </w:rPr>
      </w:pPr>
      <w:r w:rsidRPr="00870C7C">
        <w:rPr>
          <w:rFonts w:asciiTheme="minorBidi" w:hAnsiTheme="minorBidi"/>
          <w:b/>
          <w:bCs/>
          <w:szCs w:val="28"/>
        </w:rPr>
        <w:t>Glass</w:t>
      </w:r>
      <w:r w:rsidR="00870C7C">
        <w:rPr>
          <w:rFonts w:asciiTheme="minorBidi" w:hAnsiTheme="minorBidi"/>
          <w:b/>
          <w:bCs/>
          <w:szCs w:val="28"/>
        </w:rPr>
        <w:t>-</w:t>
      </w:r>
      <w:r w:rsidRPr="00870C7C">
        <w:rPr>
          <w:rFonts w:asciiTheme="minorBidi" w:hAnsiTheme="minorBidi"/>
          <w:b/>
          <w:bCs/>
          <w:szCs w:val="28"/>
        </w:rPr>
        <w:t>ionomer cement</w:t>
      </w:r>
      <w:r w:rsidR="00870C7C">
        <w:rPr>
          <w:rFonts w:asciiTheme="minorBidi" w:hAnsiTheme="minorBidi"/>
          <w:b/>
          <w:bCs/>
          <w:szCs w:val="28"/>
        </w:rPr>
        <w:t>s</w:t>
      </w:r>
      <w:r w:rsidRPr="00870C7C">
        <w:rPr>
          <w:rFonts w:asciiTheme="minorBidi" w:hAnsiTheme="minorBidi"/>
          <w:b/>
          <w:bCs/>
          <w:szCs w:val="28"/>
        </w:rPr>
        <w:t xml:space="preserve"> </w:t>
      </w:r>
    </w:p>
    <w:p w:rsidR="006761EB" w:rsidRDefault="00F5514E" w:rsidP="00870C7C">
      <w:pPr>
        <w:rPr>
          <w:b/>
          <w:bCs/>
        </w:rPr>
      </w:pPr>
      <w:r w:rsidRPr="006761EB">
        <w:t xml:space="preserve">GICs </w:t>
      </w:r>
      <w:r w:rsidRPr="00D7364C">
        <w:t>have</w:t>
      </w:r>
      <w:r w:rsidR="00D7364C" w:rsidRPr="00D7364C">
        <w:t xml:space="preserve"> become a popular restorative material due to their chemical adhesion </w:t>
      </w:r>
      <w:r>
        <w:t xml:space="preserve">and ability to release fluoride </w:t>
      </w:r>
      <w:r w:rsidRPr="007957FB">
        <w:rPr>
          <w:b/>
          <w:bCs/>
        </w:rPr>
        <w:t>(Rosa et al</w:t>
      </w:r>
      <w:r w:rsidR="00870C7C">
        <w:rPr>
          <w:b/>
          <w:bCs/>
        </w:rPr>
        <w:t>.,</w:t>
      </w:r>
      <w:r w:rsidRPr="007957FB">
        <w:rPr>
          <w:b/>
          <w:bCs/>
        </w:rPr>
        <w:t xml:space="preserve"> 2013)</w:t>
      </w:r>
      <w:r w:rsidR="00870C7C" w:rsidRPr="00870C7C">
        <w:t>.</w:t>
      </w:r>
      <w:r>
        <w:t xml:space="preserve"> </w:t>
      </w:r>
      <w:r w:rsidRPr="00F5514E">
        <w:t xml:space="preserve">GICs have shown extended satisfactory results over time, especially in the treatment </w:t>
      </w:r>
      <w:r>
        <w:t xml:space="preserve">of non-carious cervical lesions </w:t>
      </w:r>
      <w:r w:rsidRPr="007957FB">
        <w:rPr>
          <w:b/>
          <w:bCs/>
        </w:rPr>
        <w:t>(Neelakantan et al</w:t>
      </w:r>
      <w:r w:rsidR="00870C7C">
        <w:rPr>
          <w:b/>
          <w:bCs/>
        </w:rPr>
        <w:t>.,</w:t>
      </w:r>
      <w:r w:rsidRPr="007957FB">
        <w:rPr>
          <w:b/>
          <w:bCs/>
        </w:rPr>
        <w:t xml:space="preserve"> 2011)</w:t>
      </w:r>
      <w:r w:rsidR="007957FB" w:rsidRPr="00870C7C">
        <w:t>.</w:t>
      </w:r>
      <w:r>
        <w:t xml:space="preserve"> </w:t>
      </w:r>
      <w:r w:rsidRPr="00F5514E">
        <w:t>The pattern of fluoride release from GIC comprises a high initial release r</w:t>
      </w:r>
      <w:r>
        <w:t xml:space="preserve">ate followed by rapid reduction </w:t>
      </w:r>
      <w:r w:rsidRPr="007957FB">
        <w:rPr>
          <w:b/>
          <w:bCs/>
        </w:rPr>
        <w:t>(Franco et al</w:t>
      </w:r>
      <w:r w:rsidR="00870C7C">
        <w:rPr>
          <w:b/>
          <w:bCs/>
        </w:rPr>
        <w:t xml:space="preserve">., </w:t>
      </w:r>
      <w:r w:rsidRPr="007957FB">
        <w:rPr>
          <w:b/>
          <w:bCs/>
        </w:rPr>
        <w:t>2006)</w:t>
      </w:r>
      <w:r w:rsidR="00870C7C" w:rsidRPr="00870C7C">
        <w:t>.</w:t>
      </w:r>
      <w:r w:rsidR="00870C7C">
        <w:t xml:space="preserve"> </w:t>
      </w:r>
      <w:r w:rsidRPr="00F5514E">
        <w:t>However,</w:t>
      </w:r>
      <w:r w:rsidR="00870C7C">
        <w:t xml:space="preserve"> the</w:t>
      </w:r>
      <w:r w:rsidRPr="00F5514E">
        <w:t xml:space="preserve"> sensitivity to moisture </w:t>
      </w:r>
      <w:r w:rsidR="00870C7C">
        <w:t xml:space="preserve">and </w:t>
      </w:r>
      <w:r w:rsidRPr="00F5514E">
        <w:t>contamination</w:t>
      </w:r>
      <w:r w:rsidR="00870C7C">
        <w:t>s</w:t>
      </w:r>
      <w:r w:rsidRPr="00F5514E">
        <w:t xml:space="preserve"> interferes with the initial setting of self-cured GIC. In addition, conventional GICs are relatively unaesthetic </w:t>
      </w:r>
      <w:r w:rsidR="00870C7C">
        <w:t>with inferior</w:t>
      </w:r>
      <w:r w:rsidRPr="00F5514E">
        <w:t xml:space="preserve"> mechanical properties than resin comp</w:t>
      </w:r>
      <w:r>
        <w:t xml:space="preserve">osites </w:t>
      </w:r>
      <w:r w:rsidRPr="007957FB">
        <w:rPr>
          <w:b/>
          <w:bCs/>
        </w:rPr>
        <w:t>(Yan et al</w:t>
      </w:r>
      <w:r w:rsidR="00870C7C">
        <w:rPr>
          <w:b/>
          <w:bCs/>
        </w:rPr>
        <w:t>.,</w:t>
      </w:r>
      <w:r w:rsidRPr="007957FB">
        <w:rPr>
          <w:b/>
          <w:bCs/>
        </w:rPr>
        <w:t xml:space="preserve"> 2007)</w:t>
      </w:r>
      <w:r>
        <w:t xml:space="preserve"> </w:t>
      </w:r>
      <w:r w:rsidRPr="00F5514E">
        <w:t>which might impai</w:t>
      </w:r>
      <w:r>
        <w:t xml:space="preserve">r the long-term treatment of DH. </w:t>
      </w:r>
      <w:r w:rsidR="00870C7C">
        <w:t>The</w:t>
      </w:r>
      <w:r w:rsidRPr="00F5514E">
        <w:t xml:space="preserve"> resin-modified glass ionomer cements </w:t>
      </w:r>
      <w:r w:rsidR="00870C7C">
        <w:t xml:space="preserve">(RMGIC) </w:t>
      </w:r>
      <w:r w:rsidRPr="00F5514E">
        <w:t>have been developed to overcome the disadvantages of conventional GIC. They are more tolerant to moisture and do not require drying of the tooth sur</w:t>
      </w:r>
      <w:r>
        <w:t xml:space="preserve">face </w:t>
      </w:r>
      <w:r w:rsidRPr="007957FB">
        <w:rPr>
          <w:b/>
          <w:bCs/>
        </w:rPr>
        <w:t xml:space="preserve">(Ozgünaltay </w:t>
      </w:r>
      <w:r w:rsidR="00870C7C">
        <w:rPr>
          <w:b/>
          <w:bCs/>
        </w:rPr>
        <w:t>&amp;</w:t>
      </w:r>
      <w:r w:rsidRPr="007957FB">
        <w:rPr>
          <w:b/>
          <w:bCs/>
        </w:rPr>
        <w:t xml:space="preserve"> Onen</w:t>
      </w:r>
      <w:r w:rsidR="00870C7C">
        <w:rPr>
          <w:b/>
          <w:bCs/>
        </w:rPr>
        <w:t>,</w:t>
      </w:r>
      <w:r w:rsidRPr="007957FB">
        <w:rPr>
          <w:b/>
          <w:bCs/>
        </w:rPr>
        <w:t xml:space="preserve"> 2002)</w:t>
      </w:r>
      <w:r w:rsidR="00870C7C" w:rsidRPr="00870C7C">
        <w:t>.</w:t>
      </w:r>
      <w:r>
        <w:t xml:space="preserve"> </w:t>
      </w:r>
      <w:r w:rsidRPr="00F5514E">
        <w:t>The recently available Clinpro</w:t>
      </w:r>
      <w:r w:rsidRPr="00870C7C">
        <w:rPr>
          <w:vertAlign w:val="superscript"/>
        </w:rPr>
        <w:t>TM</w:t>
      </w:r>
      <w:r w:rsidRPr="00F5514E">
        <w:t xml:space="preserve"> XT (3M ESPE, Minnesota, USA) is a new paste-liquid that may be used as a site-specific, </w:t>
      </w:r>
      <w:r>
        <w:t xml:space="preserve">light-cured desensitizing agent </w:t>
      </w:r>
      <w:r w:rsidRPr="007957FB">
        <w:rPr>
          <w:b/>
          <w:bCs/>
        </w:rPr>
        <w:t>(Naorungroj et al</w:t>
      </w:r>
      <w:r w:rsidR="00870C7C">
        <w:rPr>
          <w:b/>
          <w:bCs/>
        </w:rPr>
        <w:t>.,</w:t>
      </w:r>
      <w:r w:rsidRPr="007957FB">
        <w:rPr>
          <w:b/>
          <w:bCs/>
        </w:rPr>
        <w:t xml:space="preserve"> 2010)</w:t>
      </w:r>
      <w:r w:rsidR="00870C7C" w:rsidRPr="00870C7C">
        <w:t>.</w:t>
      </w:r>
      <w:r w:rsidR="00870C7C">
        <w:rPr>
          <w:b/>
          <w:bCs/>
        </w:rPr>
        <w:t xml:space="preserve"> </w:t>
      </w:r>
      <w:r w:rsidR="00870C7C" w:rsidRPr="00870C7C">
        <w:t>The</w:t>
      </w:r>
      <w:r>
        <w:t xml:space="preserve"> </w:t>
      </w:r>
      <w:r w:rsidR="00870C7C">
        <w:t>i</w:t>
      </w:r>
      <w:r w:rsidRPr="00F5514E">
        <w:t xml:space="preserve">on exchange with dental substrate inherent to GICs enhanced the development of these materials </w:t>
      </w:r>
      <w:r>
        <w:t xml:space="preserve">to obtain high fluoride release </w:t>
      </w:r>
      <w:r w:rsidRPr="007957FB">
        <w:rPr>
          <w:b/>
          <w:bCs/>
        </w:rPr>
        <w:t>(Ding et al</w:t>
      </w:r>
      <w:r w:rsidR="00870C7C">
        <w:rPr>
          <w:b/>
          <w:bCs/>
        </w:rPr>
        <w:t>.,</w:t>
      </w:r>
      <w:r w:rsidRPr="007957FB">
        <w:rPr>
          <w:b/>
          <w:bCs/>
        </w:rPr>
        <w:t xml:space="preserve"> 2014)</w:t>
      </w:r>
      <w:r w:rsidR="00870C7C">
        <w:t>.</w:t>
      </w:r>
      <w:r>
        <w:t xml:space="preserve"> </w:t>
      </w:r>
      <w:r w:rsidRPr="00F5514E">
        <w:t>Since GICs may also release therapeutic doses of fluoride over time, the activity is an important feature to obstruct tubules in DH treatment</w:t>
      </w:r>
      <w:r>
        <w:t xml:space="preserve"> </w:t>
      </w:r>
      <w:r w:rsidRPr="007957FB">
        <w:rPr>
          <w:b/>
          <w:bCs/>
        </w:rPr>
        <w:t>(Beun et al</w:t>
      </w:r>
      <w:r w:rsidR="00870C7C">
        <w:rPr>
          <w:b/>
          <w:bCs/>
        </w:rPr>
        <w:t>.,</w:t>
      </w:r>
      <w:r w:rsidRPr="007957FB">
        <w:rPr>
          <w:b/>
          <w:bCs/>
        </w:rPr>
        <w:t xml:space="preserve"> 2012)</w:t>
      </w:r>
      <w:r w:rsidR="00870C7C">
        <w:t>.</w:t>
      </w:r>
      <w:r w:rsidRPr="007957FB">
        <w:rPr>
          <w:b/>
          <w:bCs/>
        </w:rPr>
        <w:t xml:space="preserve"> </w:t>
      </w:r>
      <w:r w:rsidRPr="00F5514E">
        <w:t>However, there is no consensus in the literature regarding to the clinical relevance of releas</w:t>
      </w:r>
      <w:r w:rsidR="007957FB">
        <w:t>ed fluorides by th</w:t>
      </w:r>
      <w:r w:rsidR="00870C7C">
        <w:t>ose</w:t>
      </w:r>
      <w:r w:rsidR="007957FB">
        <w:t xml:space="preserve"> materials </w:t>
      </w:r>
      <w:r w:rsidR="007957FB" w:rsidRPr="007957FB">
        <w:rPr>
          <w:b/>
          <w:bCs/>
        </w:rPr>
        <w:t>(Kovarik et al</w:t>
      </w:r>
      <w:r w:rsidR="00870C7C">
        <w:rPr>
          <w:b/>
          <w:bCs/>
        </w:rPr>
        <w:t>.,</w:t>
      </w:r>
      <w:r w:rsidR="007957FB" w:rsidRPr="007957FB">
        <w:rPr>
          <w:b/>
          <w:bCs/>
        </w:rPr>
        <w:t xml:space="preserve"> 2005)</w:t>
      </w:r>
      <w:r w:rsidR="00870C7C" w:rsidRPr="00870C7C">
        <w:t>.</w:t>
      </w:r>
      <w:r w:rsidR="007957FB">
        <w:t xml:space="preserve"> </w:t>
      </w:r>
      <w:r w:rsidR="007957FB" w:rsidRPr="007957FB">
        <w:t>The rapid reduction of DH and the long-term duration of these desensitizing effects are critical. Previous studies reported that the effects of several desensitizing agents were not permanent because they did not properly adhere to the dentin surface</w:t>
      </w:r>
      <w:r w:rsidR="007957FB">
        <w:t xml:space="preserve"> </w:t>
      </w:r>
      <w:r w:rsidR="007957FB" w:rsidRPr="007957FB">
        <w:rPr>
          <w:b/>
          <w:bCs/>
        </w:rPr>
        <w:t>(Neelakantan et al</w:t>
      </w:r>
      <w:r w:rsidR="00870C7C">
        <w:rPr>
          <w:b/>
          <w:bCs/>
        </w:rPr>
        <w:t>.,</w:t>
      </w:r>
      <w:r w:rsidR="007957FB" w:rsidRPr="007957FB">
        <w:rPr>
          <w:b/>
          <w:bCs/>
        </w:rPr>
        <w:t xml:space="preserve"> 2011)</w:t>
      </w:r>
      <w:r w:rsidR="00870C7C">
        <w:t>.</w:t>
      </w:r>
      <w:r w:rsidR="007957FB">
        <w:t xml:space="preserve"> </w:t>
      </w:r>
      <w:r w:rsidR="007957FB" w:rsidRPr="007957FB">
        <w:t>However, a limited amount of data on the efficacy of desensitizers is available in the literature, especially for long-term assessments of at least 6-months follow-up</w:t>
      </w:r>
      <w:r w:rsidR="007957FB">
        <w:t xml:space="preserve"> </w:t>
      </w:r>
      <w:r w:rsidR="007957FB" w:rsidRPr="007957FB">
        <w:rPr>
          <w:b/>
          <w:bCs/>
        </w:rPr>
        <w:t>(Yilmaz, et al</w:t>
      </w:r>
      <w:r w:rsidR="00870C7C">
        <w:rPr>
          <w:b/>
          <w:bCs/>
        </w:rPr>
        <w:t>.,</w:t>
      </w:r>
      <w:r w:rsidR="007957FB" w:rsidRPr="007957FB">
        <w:rPr>
          <w:b/>
          <w:bCs/>
        </w:rPr>
        <w:t xml:space="preserve"> 2011)</w:t>
      </w:r>
      <w:r w:rsidR="007957FB" w:rsidRPr="00870C7C">
        <w:t>.</w:t>
      </w:r>
    </w:p>
    <w:p w:rsidR="007957FB" w:rsidRPr="00870C7C" w:rsidRDefault="007F4A53" w:rsidP="00870C7C">
      <w:pPr>
        <w:pStyle w:val="ListParagraph"/>
        <w:numPr>
          <w:ilvl w:val="0"/>
          <w:numId w:val="14"/>
        </w:numPr>
        <w:ind w:left="0" w:firstLine="0"/>
        <w:rPr>
          <w:b/>
          <w:bCs/>
        </w:rPr>
      </w:pPr>
      <w:r w:rsidRPr="00870C7C">
        <w:rPr>
          <w:b/>
          <w:bCs/>
        </w:rPr>
        <w:t xml:space="preserve">Resin-Based composites </w:t>
      </w:r>
    </w:p>
    <w:p w:rsidR="0047324C" w:rsidRDefault="007F4A53" w:rsidP="00DF5D90">
      <w:r>
        <w:t xml:space="preserve"> </w:t>
      </w:r>
      <w:r w:rsidR="00574EE0">
        <w:t xml:space="preserve">The </w:t>
      </w:r>
      <w:r w:rsidR="00574EE0" w:rsidRPr="007F4A53">
        <w:t>clinical</w:t>
      </w:r>
      <w:r w:rsidRPr="007F4A53">
        <w:t xml:space="preserve"> performance of these restorations is highly product-dependent, particularly regarding the adhesive system used. The type of composite material seems to have no significant influence on the clinical performance of NCCL restorations in clinical trials. It is much more important that the operator carries out the clinical procedure correctly. Marginal degradation is frequently seen during aging. </w:t>
      </w:r>
      <w:r w:rsidR="00FA05F6">
        <w:t>However, the</w:t>
      </w:r>
      <w:r w:rsidRPr="007F4A53">
        <w:t xml:space="preserve"> maintenance </w:t>
      </w:r>
      <w:r w:rsidR="00FA05F6">
        <w:t>via</w:t>
      </w:r>
      <w:r w:rsidRPr="007F4A53">
        <w:t xml:space="preserve"> the eventual repolishing of restoration margins will lengthen the lifespan of restorations </w:t>
      </w:r>
      <w:r w:rsidRPr="00574EE0">
        <w:rPr>
          <w:b/>
          <w:bCs/>
        </w:rPr>
        <w:t>(Peumans et al., 2020)</w:t>
      </w:r>
      <w:r w:rsidRPr="00FA05F6">
        <w:t>.</w:t>
      </w:r>
      <w:r w:rsidRPr="00574EE0">
        <w:rPr>
          <w:b/>
          <w:bCs/>
        </w:rPr>
        <w:t xml:space="preserve"> </w:t>
      </w:r>
      <w:r w:rsidRPr="007F4A53">
        <w:t xml:space="preserve">The use of flowable composite resin after pumice cleaning, rinsing and drying, followed by dental bond application as in Clearfil S3 Bond was effective in reducing hypersensitivity in NCCLs </w:t>
      </w:r>
      <w:r w:rsidR="00FA05F6">
        <w:t>with</w:t>
      </w:r>
      <w:r w:rsidRPr="007F4A53">
        <w:t xml:space="preserve">in six-month study, yet, comparable with one-step self-etch sealant, raising a debut about optimum time saving procedure </w:t>
      </w:r>
      <w:r w:rsidRPr="00574EE0">
        <w:rPr>
          <w:b/>
          <w:bCs/>
        </w:rPr>
        <w:t>(Veitz-Keenan et al., 2013)</w:t>
      </w:r>
      <w:r w:rsidRPr="00FA05F6">
        <w:t>.</w:t>
      </w:r>
      <w:r w:rsidRPr="007F4A53">
        <w:t xml:space="preserve"> In addition different in-vitro std</w:t>
      </w:r>
      <w:r w:rsidR="00DF5D90" w:rsidRPr="007F4A53">
        <w:t>u</w:t>
      </w:r>
      <w:r w:rsidRPr="007F4A53">
        <w:t xml:space="preserve">ies have shown improvement in the long-term occlusion of the dentinal tubules and reduction of dentin sensitivity in teeth with cervical loss of tissue, when adhesive restorations were associated with oxalate-based desensitizing agents </w:t>
      </w:r>
      <w:r w:rsidR="00DF5D90">
        <w:rPr>
          <w:b/>
          <w:bCs/>
        </w:rPr>
        <w:t>(</w:t>
      </w:r>
      <w:r w:rsidR="00DF5D90" w:rsidRPr="00DF5D90">
        <w:rPr>
          <w:b/>
          <w:bCs/>
        </w:rPr>
        <w:t>Arrais</w:t>
      </w:r>
      <w:r w:rsidR="00DF5D90">
        <w:rPr>
          <w:b/>
          <w:bCs/>
        </w:rPr>
        <w:t xml:space="preserve"> et al., 2004</w:t>
      </w:r>
      <w:r w:rsidRPr="00574EE0">
        <w:rPr>
          <w:b/>
          <w:bCs/>
        </w:rPr>
        <w:t>)</w:t>
      </w:r>
      <w:r w:rsidRPr="00FA05F6">
        <w:t xml:space="preserve">, </w:t>
      </w:r>
      <w:r w:rsidRPr="007F4A53">
        <w:t xml:space="preserve">while a double-blind randomized controlled clinical trial during four-month period resulted that the application of oxalic acid under resin based composite restorations significantly reduces dentin sensitivity, compared with resin-only restorations, over a period of four months </w:t>
      </w:r>
      <w:r w:rsidRPr="00574EE0">
        <w:rPr>
          <w:b/>
          <w:bCs/>
        </w:rPr>
        <w:t>(Barrientos et al., 2011)</w:t>
      </w:r>
      <w:r w:rsidRPr="00FA05F6">
        <w:t>.</w:t>
      </w:r>
      <w:r w:rsidRPr="007F4A53">
        <w:t xml:space="preserve"> However, a recent systemic review showed that oxalates have negative effect on the immediate bond strength, due to lack of clinical data, further research should be done </w:t>
      </w:r>
      <w:r w:rsidRPr="00574EE0">
        <w:rPr>
          <w:b/>
          <w:bCs/>
        </w:rPr>
        <w:t>(Li et al., 2021)</w:t>
      </w:r>
      <w:r w:rsidRPr="00FA05F6">
        <w:t>.</w:t>
      </w:r>
      <w:r w:rsidRPr="007F4A53">
        <w:t xml:space="preserve"> On the contrast, a </w:t>
      </w:r>
      <w:r w:rsidR="00FA05F6" w:rsidRPr="007F4A53">
        <w:t>randomized</w:t>
      </w:r>
      <w:r w:rsidRPr="007F4A53">
        <w:t xml:space="preserve"> clinical trial showed that moderate or severe hypersensitivity in teeth that required a filling responded similarly regardless of whether the desensitizing procedure was carried out prior to the restoration </w:t>
      </w:r>
      <w:r w:rsidRPr="00574EE0">
        <w:rPr>
          <w:b/>
          <w:bCs/>
        </w:rPr>
        <w:t>(Freitas et al., 2021)</w:t>
      </w:r>
      <w:r w:rsidRPr="00FA05F6">
        <w:t>.</w:t>
      </w:r>
    </w:p>
    <w:p w:rsidR="00574EE0" w:rsidRDefault="00574EE0" w:rsidP="00A918E9">
      <w:pPr>
        <w:pStyle w:val="Heading1"/>
      </w:pPr>
      <w:r w:rsidRPr="00574EE0">
        <w:t xml:space="preserve">Conclusion </w:t>
      </w:r>
    </w:p>
    <w:p w:rsidR="00CC1ABD" w:rsidRDefault="00574EE0" w:rsidP="00CC1ABD">
      <w:r w:rsidRPr="00433573">
        <w:t xml:space="preserve">There is no gold standard for treating root dentin hypersensitivity, amongst many desensitizers, </w:t>
      </w:r>
      <w:r w:rsidR="00FA05F6" w:rsidRPr="00433573">
        <w:t xml:space="preserve">bioactive glass, pro </w:t>
      </w:r>
      <w:r w:rsidRPr="00433573">
        <w:t>arginine, and nano-hydroxyapatite are the most effective</w:t>
      </w:r>
      <w:r w:rsidR="00FA05F6">
        <w:t xml:space="preserve"> materials with</w:t>
      </w:r>
      <w:r w:rsidRPr="00433573">
        <w:t xml:space="preserve"> nano-technology</w:t>
      </w:r>
      <w:r w:rsidR="00FA05F6">
        <w:t>,</w:t>
      </w:r>
      <w:r w:rsidRPr="00433573">
        <w:t xml:space="preserve"> </w:t>
      </w:r>
      <w:r w:rsidR="00BE5828">
        <w:t>and the</w:t>
      </w:r>
      <w:r w:rsidR="00FA05F6">
        <w:t xml:space="preserve"> efficiency will be enhanced</w:t>
      </w:r>
      <w:r w:rsidRPr="00433573">
        <w:t xml:space="preserve">. Dental adhesives and varnishes showed comparable results. Lasers mainly Nd: YAG alone or in combination with desensitizers provided immediate relief for symptomatic patient at office with prolonged duration, GIC fillings are superior to resin composite in treating </w:t>
      </w:r>
      <w:r w:rsidR="00BE5828" w:rsidRPr="00433573">
        <w:t>non-carious</w:t>
      </w:r>
      <w:r w:rsidRPr="00433573">
        <w:t xml:space="preserve"> hypersensitive dentin, yet inferior in aesthetic. No single visit therapy is available till now. Biomimetic mineralization strategy is the future for root dentin hypersensitivity treatment.</w:t>
      </w:r>
    </w:p>
    <w:p w:rsidR="00756610" w:rsidRPr="00CC1ABD" w:rsidRDefault="00756610" w:rsidP="00A918E9">
      <w:pPr>
        <w:rPr>
          <w:b/>
          <w:bCs/>
          <w:sz w:val="32"/>
          <w:szCs w:val="32"/>
        </w:rPr>
      </w:pPr>
      <w:r w:rsidRPr="00CC1ABD">
        <w:rPr>
          <w:b/>
          <w:bCs/>
          <w:sz w:val="32"/>
          <w:szCs w:val="32"/>
        </w:rPr>
        <w:t>References</w:t>
      </w:r>
    </w:p>
    <w:p w:rsidR="00BB7C63" w:rsidRPr="00BB7C63" w:rsidRDefault="00BB7C63" w:rsidP="00BE5828">
      <w:pPr>
        <w:jc w:val="left"/>
      </w:pPr>
      <w:r>
        <w:rPr>
          <w:b/>
          <w:bCs/>
        </w:rPr>
        <w:t xml:space="preserve">      </w:t>
      </w:r>
      <w:r w:rsidRPr="00BB7C63">
        <w:rPr>
          <w:b/>
          <w:bCs/>
        </w:rPr>
        <w:t>A</w:t>
      </w:r>
    </w:p>
    <w:p w:rsidR="00BB7C63" w:rsidRDefault="00BB7C63" w:rsidP="00BE5828">
      <w:pPr>
        <w:pStyle w:val="ListParagraph"/>
        <w:numPr>
          <w:ilvl w:val="0"/>
          <w:numId w:val="19"/>
        </w:numPr>
      </w:pPr>
      <w:r w:rsidRPr="00BB7C63">
        <w:t>Addy M. Tooth brushing, tooth wear and dentine hypersensitivity--are they associated? Int Dent J. 2005.</w:t>
      </w:r>
    </w:p>
    <w:p w:rsidR="00637304" w:rsidRDefault="00637304" w:rsidP="00BE5828">
      <w:pPr>
        <w:pStyle w:val="ListParagraph"/>
        <w:numPr>
          <w:ilvl w:val="0"/>
          <w:numId w:val="19"/>
        </w:numPr>
      </w:pPr>
      <w:r w:rsidRPr="00637304">
        <w:t>Arola, D., Ivancik, J., Majd, H., Fouad, A., Bajaj, D., Zhang, X. Y., &amp; Eidelman, N. (2009). Microstructure and mechanical behavior of radicular and coronal dentin. </w:t>
      </w:r>
      <w:r w:rsidRPr="00637304">
        <w:rPr>
          <w:i/>
          <w:iCs/>
        </w:rPr>
        <w:t>Endodontic Topics</w:t>
      </w:r>
      <w:r w:rsidRPr="00637304">
        <w:t>, </w:t>
      </w:r>
      <w:r w:rsidRPr="00637304">
        <w:rPr>
          <w:i/>
          <w:iCs/>
        </w:rPr>
        <w:t>20</w:t>
      </w:r>
      <w:r w:rsidRPr="00637304">
        <w:t>(1), 30-51.</w:t>
      </w:r>
      <w:r w:rsidRPr="00637304">
        <w:rPr>
          <w:rtl/>
        </w:rPr>
        <w:t>‏</w:t>
      </w:r>
    </w:p>
    <w:p w:rsidR="00637304" w:rsidRDefault="00637304" w:rsidP="00BE5828">
      <w:pPr>
        <w:pStyle w:val="ListParagraph"/>
        <w:numPr>
          <w:ilvl w:val="0"/>
          <w:numId w:val="19"/>
        </w:numPr>
      </w:pPr>
      <w:r w:rsidRPr="00637304">
        <w:t>Absi, E. G., M. Addy, and D. Adams. "Dentine hypersensitivity: a study of the patency of dentinal tubules in sensitive and non</w:t>
      </w:r>
      <w:r w:rsidRPr="00637304">
        <w:rPr>
          <w:rFonts w:ascii="Cambria Math" w:hAnsi="Cambria Math" w:cs="Cambria Math"/>
        </w:rPr>
        <w:t>‐</w:t>
      </w:r>
      <w:r w:rsidRPr="00637304">
        <w:t>sensitive cervical dentine."</w:t>
      </w:r>
      <w:r w:rsidRPr="00637304">
        <w:rPr>
          <w:rFonts w:cs="Arial"/>
        </w:rPr>
        <w:t> </w:t>
      </w:r>
      <w:r w:rsidRPr="00637304">
        <w:rPr>
          <w:i/>
          <w:iCs/>
        </w:rPr>
        <w:t>Journal of Clinical Periodontology</w:t>
      </w:r>
      <w:r w:rsidRPr="00637304">
        <w:t> 14.5 (1987): 280-284.</w:t>
      </w:r>
      <w:r w:rsidRPr="00637304">
        <w:rPr>
          <w:rtl/>
        </w:rPr>
        <w:t>‏</w:t>
      </w:r>
    </w:p>
    <w:p w:rsidR="0082693E" w:rsidRDefault="0082693E" w:rsidP="00BE5828">
      <w:pPr>
        <w:pStyle w:val="ListParagraph"/>
        <w:numPr>
          <w:ilvl w:val="0"/>
          <w:numId w:val="19"/>
        </w:numPr>
      </w:pPr>
      <w:r w:rsidRPr="0082693E">
        <w:t>Addy, M., and P. Mostafa. "Dentine hypersensitivity. I. Effects produced by the uptake in vitro of metal ions, fluoride and formaldehyde onto dentine." </w:t>
      </w:r>
      <w:r w:rsidRPr="0082693E">
        <w:rPr>
          <w:i/>
          <w:iCs/>
        </w:rPr>
        <w:t>Journal of Oral Rehabilitation</w:t>
      </w:r>
      <w:r w:rsidRPr="0082693E">
        <w:t> 15.6 (1988): 575-585.</w:t>
      </w:r>
      <w:r w:rsidRPr="0082693E">
        <w:rPr>
          <w:rtl/>
        </w:rPr>
        <w:t>‏</w:t>
      </w:r>
    </w:p>
    <w:p w:rsidR="00191547" w:rsidRDefault="00191547" w:rsidP="00BE5828">
      <w:pPr>
        <w:pStyle w:val="ListParagraph"/>
        <w:numPr>
          <w:ilvl w:val="0"/>
          <w:numId w:val="19"/>
        </w:numPr>
      </w:pPr>
      <w:r w:rsidRPr="00191547">
        <w:t>Arshad, S., Zaidi, S. J. A., &amp; Farooqui, W. A. (2021). Comparative efficacy of BioMin-F, Colgate Sensitive Pro-relief and Sensodyne Rapid Action in relieving dentin hypersensitivity: a randomized controlled trial. </w:t>
      </w:r>
      <w:r w:rsidRPr="00191547">
        <w:rPr>
          <w:i/>
          <w:iCs/>
        </w:rPr>
        <w:t>BMC Oral Health</w:t>
      </w:r>
      <w:r w:rsidRPr="00191547">
        <w:t>, </w:t>
      </w:r>
      <w:r w:rsidRPr="00191547">
        <w:rPr>
          <w:i/>
          <w:iCs/>
        </w:rPr>
        <w:t>21</w:t>
      </w:r>
      <w:r w:rsidRPr="00191547">
        <w:t>(1), 1-12.</w:t>
      </w:r>
      <w:r w:rsidRPr="00191547">
        <w:rPr>
          <w:rtl/>
        </w:rPr>
        <w:t>‏</w:t>
      </w:r>
    </w:p>
    <w:p w:rsidR="00EE4D8B" w:rsidRDefault="00EE4D8B" w:rsidP="00BE5828">
      <w:pPr>
        <w:pStyle w:val="ListParagraph"/>
        <w:numPr>
          <w:ilvl w:val="0"/>
          <w:numId w:val="19"/>
        </w:numPr>
      </w:pPr>
      <w:r w:rsidRPr="00EE4D8B">
        <w:t>Armênio, R. V., Fitarelli, F., Armênio, M. F., Demarco, F. F., Reis, A., &amp; Loguercio, A. D. (2008). The effect of fluoride gel use on bleaching sensitivity: a double-blind randomized controlled clinical trial. </w:t>
      </w:r>
      <w:r w:rsidRPr="00EE4D8B">
        <w:rPr>
          <w:i/>
          <w:iCs/>
        </w:rPr>
        <w:t>The Journal of the American Dental Association</w:t>
      </w:r>
      <w:r w:rsidRPr="00EE4D8B">
        <w:t>, </w:t>
      </w:r>
      <w:r w:rsidRPr="00EE4D8B">
        <w:rPr>
          <w:i/>
          <w:iCs/>
        </w:rPr>
        <w:t>139</w:t>
      </w:r>
      <w:r w:rsidRPr="00EE4D8B">
        <w:t>(5), 592-597.</w:t>
      </w:r>
      <w:r w:rsidRPr="00EE4D8B">
        <w:rPr>
          <w:rtl/>
        </w:rPr>
        <w:t>‏</w:t>
      </w:r>
    </w:p>
    <w:p w:rsidR="001323C7" w:rsidRDefault="001323C7" w:rsidP="00BE5828">
      <w:pPr>
        <w:pStyle w:val="ListParagraph"/>
        <w:numPr>
          <w:ilvl w:val="0"/>
          <w:numId w:val="19"/>
        </w:numPr>
      </w:pPr>
      <w:r w:rsidRPr="001323C7">
        <w:t>Artopoulou, I. I., Powers, J. M., &amp; Chambers, M. S. (2010). In vitro staining effects of stannous fluoride and sodium fluoride on ceramic material. </w:t>
      </w:r>
      <w:r w:rsidRPr="001323C7">
        <w:rPr>
          <w:i/>
          <w:iCs/>
        </w:rPr>
        <w:t>The Journal of prosthetic dentistry</w:t>
      </w:r>
      <w:r w:rsidRPr="001323C7">
        <w:t>, </w:t>
      </w:r>
      <w:r w:rsidRPr="001323C7">
        <w:rPr>
          <w:i/>
          <w:iCs/>
        </w:rPr>
        <w:t>103</w:t>
      </w:r>
      <w:r w:rsidRPr="001323C7">
        <w:t>(3), 163-169.</w:t>
      </w:r>
      <w:r w:rsidRPr="001323C7">
        <w:rPr>
          <w:rtl/>
        </w:rPr>
        <w:t>‏</w:t>
      </w:r>
    </w:p>
    <w:p w:rsidR="00497B00" w:rsidRDefault="00497B00" w:rsidP="00BE5828">
      <w:pPr>
        <w:pStyle w:val="ListParagraph"/>
        <w:numPr>
          <w:ilvl w:val="0"/>
          <w:numId w:val="19"/>
        </w:numPr>
      </w:pPr>
      <w:r w:rsidRPr="00497B00">
        <w:t>Amaechi, B. T., Lemke, K. C., Saha, S., Luong, M. N., &amp; Gelfond, J. (2021). Clinical efficacy of nanohydroxyapatite-containing toothpaste at relieving dentin hypersensitivity: an 8 weeks randomized control trial. </w:t>
      </w:r>
      <w:r w:rsidRPr="00497B00">
        <w:rPr>
          <w:i/>
          <w:iCs/>
        </w:rPr>
        <w:t>BDJ open</w:t>
      </w:r>
      <w:r w:rsidRPr="00497B00">
        <w:t>, </w:t>
      </w:r>
      <w:r w:rsidRPr="00497B00">
        <w:rPr>
          <w:i/>
          <w:iCs/>
        </w:rPr>
        <w:t>7</w:t>
      </w:r>
      <w:r w:rsidRPr="00497B00">
        <w:t>(1), 1-8.</w:t>
      </w:r>
      <w:r w:rsidRPr="00497B00">
        <w:rPr>
          <w:rtl/>
        </w:rPr>
        <w:t>‏</w:t>
      </w:r>
    </w:p>
    <w:p w:rsidR="00493F97" w:rsidRDefault="00493F97" w:rsidP="00BE5828">
      <w:pPr>
        <w:pStyle w:val="ListParagraph"/>
        <w:numPr>
          <w:ilvl w:val="0"/>
          <w:numId w:val="19"/>
        </w:numPr>
      </w:pPr>
      <w:r w:rsidRPr="00493F97">
        <w:t>Azarpazhooh, A., Limeback, H., Lawrence, H. P., &amp; Fillery, E. D. (2009). Evaluating the effect of an ozone delivery system on the reversal of dentin hypersensitivity: a randomized, double-blinded clinical trial. </w:t>
      </w:r>
      <w:r w:rsidRPr="00493F97">
        <w:rPr>
          <w:i/>
          <w:iCs/>
        </w:rPr>
        <w:t>Journal of endodontics</w:t>
      </w:r>
      <w:r w:rsidRPr="00493F97">
        <w:t>, </w:t>
      </w:r>
      <w:r w:rsidRPr="00493F97">
        <w:rPr>
          <w:i/>
          <w:iCs/>
        </w:rPr>
        <w:t>35</w:t>
      </w:r>
      <w:r w:rsidRPr="00493F97">
        <w:t>(1), 1-9.</w:t>
      </w:r>
      <w:r w:rsidRPr="00493F97">
        <w:rPr>
          <w:rtl/>
        </w:rPr>
        <w:t>‏</w:t>
      </w:r>
    </w:p>
    <w:p w:rsidR="00AD12FF" w:rsidRDefault="00AD12FF" w:rsidP="00BE5828">
      <w:pPr>
        <w:pStyle w:val="ListParagraph"/>
        <w:numPr>
          <w:ilvl w:val="0"/>
          <w:numId w:val="19"/>
        </w:numPr>
      </w:pPr>
      <w:r w:rsidRPr="00AD12FF">
        <w:t xml:space="preserve"> Amaechi, B. T., Meyer, F</w:t>
      </w:r>
      <w:r>
        <w:t>.,</w:t>
      </w:r>
      <w:r w:rsidRPr="00AD12FF">
        <w:t xml:space="preserve"> Fabritius, H. O., &amp; Enax, J. (2018). Overview of calcium phosphates used in biomimetic oral care. </w:t>
      </w:r>
      <w:r w:rsidRPr="00AD12FF">
        <w:rPr>
          <w:i/>
          <w:iCs/>
        </w:rPr>
        <w:t>The open dentistry journal</w:t>
      </w:r>
      <w:r w:rsidRPr="00AD12FF">
        <w:t>, </w:t>
      </w:r>
      <w:r w:rsidRPr="00AD12FF">
        <w:rPr>
          <w:i/>
          <w:iCs/>
        </w:rPr>
        <w:t>12</w:t>
      </w:r>
      <w:r w:rsidRPr="00AD12FF">
        <w:t>, 406.</w:t>
      </w:r>
      <w:r w:rsidRPr="00AD12FF">
        <w:rPr>
          <w:rtl/>
        </w:rPr>
        <w:t>‏</w:t>
      </w:r>
    </w:p>
    <w:p w:rsidR="00C8216C" w:rsidRDefault="00C8216C" w:rsidP="00BE5828">
      <w:pPr>
        <w:pStyle w:val="ListParagraph"/>
        <w:numPr>
          <w:ilvl w:val="0"/>
          <w:numId w:val="19"/>
        </w:numPr>
      </w:pPr>
      <w:r w:rsidRPr="00C8216C">
        <w:t>Aranha, A. C. C., &amp; de Paula Eduardo, C. (2012). Effects of Er: YAG and Er, Cr: YSGG lasers on dentine hypersensitivity. Short-term clinical evaluation. </w:t>
      </w:r>
      <w:r w:rsidRPr="00C8216C">
        <w:rPr>
          <w:i/>
          <w:iCs/>
        </w:rPr>
        <w:t>Lasers in medical science</w:t>
      </w:r>
      <w:r w:rsidRPr="00C8216C">
        <w:t>, </w:t>
      </w:r>
      <w:r w:rsidRPr="00C8216C">
        <w:rPr>
          <w:i/>
          <w:iCs/>
        </w:rPr>
        <w:t>27</w:t>
      </w:r>
      <w:r w:rsidRPr="00C8216C">
        <w:t>(4), 813-818.</w:t>
      </w:r>
      <w:r w:rsidRPr="00C8216C">
        <w:rPr>
          <w:rtl/>
        </w:rPr>
        <w:t>‏</w:t>
      </w:r>
    </w:p>
    <w:p w:rsidR="00131DF1" w:rsidRDefault="00131DF1" w:rsidP="00B57098">
      <w:pPr>
        <w:pStyle w:val="ListParagraph"/>
        <w:numPr>
          <w:ilvl w:val="0"/>
          <w:numId w:val="19"/>
        </w:numPr>
      </w:pPr>
      <w:r w:rsidRPr="00131DF1">
        <w:t>Aranha A, Eduardo C. Effects of Er:YAG and Er,Cr:YSGG lasers on dentine hypersensitivity</w:t>
      </w:r>
      <w:r w:rsidR="00B57098">
        <w:t>, s</w:t>
      </w:r>
      <w:r w:rsidRPr="00131DF1">
        <w:t xml:space="preserve">hort-term clinical evaluation. </w:t>
      </w:r>
      <w:r w:rsidRPr="00B57098">
        <w:rPr>
          <w:i/>
          <w:iCs/>
        </w:rPr>
        <w:t>Lasers Med Sci</w:t>
      </w:r>
      <w:r w:rsidRPr="00131DF1">
        <w:t>. 2012</w:t>
      </w:r>
      <w:r w:rsidR="00B57098" w:rsidRPr="00131DF1">
        <w:t>; 27:813</w:t>
      </w:r>
      <w:r w:rsidRPr="00131DF1">
        <w:t>–818.</w:t>
      </w:r>
    </w:p>
    <w:p w:rsidR="00BE5828" w:rsidRDefault="00DF5D90" w:rsidP="00BE5828">
      <w:pPr>
        <w:pStyle w:val="ListParagraph"/>
        <w:numPr>
          <w:ilvl w:val="0"/>
          <w:numId w:val="19"/>
        </w:numPr>
      </w:pPr>
      <w:r w:rsidRPr="00DF5D90">
        <w:t>Arrais, C. A. G., Chan, D. C. N., &amp; Giannini, M. (2004). Effects of desensitizing agents on dentinal tubule occlusion. </w:t>
      </w:r>
      <w:r w:rsidRPr="00DF5D90">
        <w:rPr>
          <w:i/>
          <w:iCs/>
        </w:rPr>
        <w:t>Journal of Applied Oral Science</w:t>
      </w:r>
      <w:r w:rsidRPr="00DF5D90">
        <w:t>, </w:t>
      </w:r>
      <w:r w:rsidRPr="00DF5D90">
        <w:rPr>
          <w:i/>
          <w:iCs/>
        </w:rPr>
        <w:t>12</w:t>
      </w:r>
      <w:r w:rsidRPr="00DF5D90">
        <w:t>, 144-148.</w:t>
      </w:r>
      <w:r w:rsidRPr="00DF5D90">
        <w:rPr>
          <w:rtl/>
        </w:rPr>
        <w:t>‏</w:t>
      </w:r>
    </w:p>
    <w:p w:rsidR="0059783A" w:rsidRPr="0059783A" w:rsidRDefault="0059783A" w:rsidP="00BE5828">
      <w:pPr>
        <w:rPr>
          <w:rFonts w:asciiTheme="majorBidi" w:hAnsiTheme="majorBidi" w:cstheme="majorBidi"/>
          <w:b/>
          <w:bCs/>
          <w:szCs w:val="28"/>
        </w:rPr>
      </w:pPr>
      <w:r>
        <w:rPr>
          <w:rFonts w:asciiTheme="majorBidi" w:hAnsiTheme="majorBidi" w:cstheme="majorBidi"/>
          <w:b/>
          <w:bCs/>
          <w:szCs w:val="28"/>
        </w:rPr>
        <w:t xml:space="preserve"> </w:t>
      </w:r>
      <w:r w:rsidRPr="0059783A">
        <w:rPr>
          <w:rFonts w:asciiTheme="majorBidi" w:hAnsiTheme="majorBidi" w:cstheme="majorBidi"/>
          <w:b/>
          <w:bCs/>
          <w:szCs w:val="28"/>
        </w:rPr>
        <w:t>B</w:t>
      </w:r>
    </w:p>
    <w:p w:rsidR="0059783A" w:rsidRPr="00B57098" w:rsidRDefault="0059783A" w:rsidP="00BE5828">
      <w:pPr>
        <w:pStyle w:val="ListParagraph"/>
        <w:numPr>
          <w:ilvl w:val="0"/>
          <w:numId w:val="15"/>
        </w:numPr>
        <w:rPr>
          <w:rFonts w:asciiTheme="minorBidi" w:hAnsiTheme="minorBidi"/>
          <w:szCs w:val="28"/>
        </w:rPr>
      </w:pPr>
      <w:r w:rsidRPr="00B57098">
        <w:rPr>
          <w:rFonts w:asciiTheme="minorBidi" w:hAnsiTheme="minorBidi"/>
          <w:szCs w:val="28"/>
        </w:rPr>
        <w:t xml:space="preserve">Bartold PM. Dentinal hypersensitivity: a review. </w:t>
      </w:r>
      <w:r w:rsidRPr="00B57098">
        <w:rPr>
          <w:rFonts w:asciiTheme="minorBidi" w:hAnsiTheme="minorBidi"/>
          <w:i/>
          <w:iCs/>
          <w:szCs w:val="28"/>
        </w:rPr>
        <w:t>Aust Dent J</w:t>
      </w:r>
      <w:r w:rsidRPr="00B57098">
        <w:rPr>
          <w:rFonts w:asciiTheme="minorBidi" w:hAnsiTheme="minorBidi"/>
          <w:szCs w:val="28"/>
        </w:rPr>
        <w:t>. 2006; 51: 212-218.</w:t>
      </w:r>
    </w:p>
    <w:p w:rsidR="0059783A" w:rsidRPr="00B57098" w:rsidRDefault="0059783A" w:rsidP="00BE5828">
      <w:pPr>
        <w:pStyle w:val="ListParagraph"/>
        <w:numPr>
          <w:ilvl w:val="0"/>
          <w:numId w:val="15"/>
        </w:numPr>
        <w:rPr>
          <w:rFonts w:asciiTheme="minorBidi" w:hAnsiTheme="minorBidi"/>
          <w:szCs w:val="28"/>
        </w:rPr>
      </w:pPr>
      <w:r w:rsidRPr="00B57098">
        <w:rPr>
          <w:rFonts w:asciiTheme="minorBidi" w:hAnsiTheme="minorBidi"/>
          <w:szCs w:val="28"/>
        </w:rPr>
        <w:t>Brännström, M., A hydrodynamic mechanism in the transmission of pain- produced stimuli through the dentine. Sensory mechanisms in dentine, ed. A. DJ. 1963: Oxford: Pergamon.</w:t>
      </w:r>
    </w:p>
    <w:p w:rsidR="00685690" w:rsidRPr="00B57098" w:rsidRDefault="00343937" w:rsidP="00BE5828">
      <w:pPr>
        <w:pStyle w:val="ListParagraph"/>
        <w:numPr>
          <w:ilvl w:val="0"/>
          <w:numId w:val="15"/>
        </w:numPr>
        <w:rPr>
          <w:rFonts w:asciiTheme="minorBidi" w:hAnsiTheme="minorBidi"/>
          <w:szCs w:val="28"/>
        </w:rPr>
      </w:pPr>
      <w:r w:rsidRPr="00B57098">
        <w:rPr>
          <w:rFonts w:asciiTheme="minorBidi" w:hAnsiTheme="minorBidi"/>
          <w:szCs w:val="28"/>
        </w:rPr>
        <w:t>Butler, W. T. (1992). Dentin extracellular matrix and dentinogenesis. </w:t>
      </w:r>
      <w:r w:rsidRPr="00B57098">
        <w:rPr>
          <w:rFonts w:asciiTheme="minorBidi" w:hAnsiTheme="minorBidi"/>
          <w:i/>
          <w:iCs/>
          <w:szCs w:val="28"/>
        </w:rPr>
        <w:t>Operative dentistry</w:t>
      </w:r>
      <w:r w:rsidRPr="00B57098">
        <w:rPr>
          <w:rFonts w:asciiTheme="minorBidi" w:hAnsiTheme="minorBidi"/>
          <w:szCs w:val="28"/>
        </w:rPr>
        <w:t>, 18-23.</w:t>
      </w:r>
      <w:r w:rsidRPr="00B57098">
        <w:rPr>
          <w:rFonts w:asciiTheme="minorBidi" w:hAnsiTheme="minorBidi"/>
          <w:szCs w:val="28"/>
          <w:rtl/>
        </w:rPr>
        <w:t>‏</w:t>
      </w:r>
    </w:p>
    <w:p w:rsidR="00BF2AFA" w:rsidRPr="00B57098" w:rsidRDefault="00BF2AFA" w:rsidP="00BE5828">
      <w:pPr>
        <w:pStyle w:val="ListParagraph"/>
        <w:numPr>
          <w:ilvl w:val="0"/>
          <w:numId w:val="15"/>
        </w:numPr>
        <w:rPr>
          <w:rFonts w:asciiTheme="minorBidi" w:hAnsiTheme="minorBidi"/>
          <w:szCs w:val="28"/>
        </w:rPr>
      </w:pPr>
      <w:r w:rsidRPr="00B57098">
        <w:rPr>
          <w:rFonts w:asciiTheme="minorBidi" w:hAnsiTheme="minorBidi"/>
          <w:szCs w:val="28"/>
        </w:rPr>
        <w:t>Bubteina, N., &amp; Garoushi, S. (2015). Dentine hypersensitivity: a review. </w:t>
      </w:r>
      <w:r w:rsidRPr="00B57098">
        <w:rPr>
          <w:rFonts w:asciiTheme="minorBidi" w:hAnsiTheme="minorBidi"/>
          <w:i/>
          <w:iCs/>
          <w:szCs w:val="28"/>
        </w:rPr>
        <w:t>Dentistry</w:t>
      </w:r>
      <w:r w:rsidRPr="00B57098">
        <w:rPr>
          <w:rFonts w:asciiTheme="minorBidi" w:hAnsiTheme="minorBidi"/>
          <w:szCs w:val="28"/>
        </w:rPr>
        <w:t>, </w:t>
      </w:r>
      <w:r w:rsidRPr="00B57098">
        <w:rPr>
          <w:rFonts w:asciiTheme="minorBidi" w:hAnsiTheme="minorBidi"/>
          <w:i/>
          <w:iCs/>
          <w:szCs w:val="28"/>
        </w:rPr>
        <w:t>5</w:t>
      </w:r>
      <w:r w:rsidRPr="00B57098">
        <w:rPr>
          <w:rFonts w:asciiTheme="minorBidi" w:hAnsiTheme="minorBidi"/>
          <w:szCs w:val="28"/>
        </w:rPr>
        <w:t>(330), 2161-1122.</w:t>
      </w:r>
      <w:r w:rsidRPr="00B57098">
        <w:rPr>
          <w:rFonts w:asciiTheme="minorBidi" w:hAnsiTheme="minorBidi"/>
          <w:szCs w:val="28"/>
          <w:rtl/>
        </w:rPr>
        <w:t>‏</w:t>
      </w:r>
    </w:p>
    <w:p w:rsidR="00C050EF" w:rsidRPr="00B57098" w:rsidRDefault="00C050EF" w:rsidP="00BE5828">
      <w:pPr>
        <w:pStyle w:val="ListParagraph"/>
        <w:numPr>
          <w:ilvl w:val="0"/>
          <w:numId w:val="15"/>
        </w:numPr>
        <w:rPr>
          <w:rFonts w:asciiTheme="minorBidi" w:hAnsiTheme="minorBidi"/>
          <w:szCs w:val="28"/>
        </w:rPr>
      </w:pPr>
      <w:r w:rsidRPr="00B57098">
        <w:rPr>
          <w:rFonts w:asciiTheme="minorBidi" w:hAnsiTheme="minorBidi"/>
          <w:szCs w:val="28"/>
        </w:rPr>
        <w:t>Bamise, C. T., &amp; Esan, T. A. (2011). Mechanisms and treatment approaches of dentine hypersensitivity: a literature review. </w:t>
      </w:r>
      <w:r w:rsidRPr="00B57098">
        <w:rPr>
          <w:rFonts w:asciiTheme="minorBidi" w:hAnsiTheme="minorBidi"/>
          <w:i/>
          <w:iCs/>
          <w:szCs w:val="28"/>
        </w:rPr>
        <w:t>Oral Health Prev Dent</w:t>
      </w:r>
      <w:r w:rsidRPr="00B57098">
        <w:rPr>
          <w:rFonts w:asciiTheme="minorBidi" w:hAnsiTheme="minorBidi"/>
          <w:szCs w:val="28"/>
        </w:rPr>
        <w:t>, </w:t>
      </w:r>
      <w:r w:rsidRPr="00B57098">
        <w:rPr>
          <w:rFonts w:asciiTheme="minorBidi" w:hAnsiTheme="minorBidi"/>
          <w:i/>
          <w:iCs/>
          <w:szCs w:val="28"/>
        </w:rPr>
        <w:t>9</w:t>
      </w:r>
      <w:r w:rsidRPr="00B57098">
        <w:rPr>
          <w:rFonts w:asciiTheme="minorBidi" w:hAnsiTheme="minorBidi"/>
          <w:szCs w:val="28"/>
        </w:rPr>
        <w:t>(4), 353-367.</w:t>
      </w:r>
      <w:r w:rsidRPr="00B57098">
        <w:rPr>
          <w:rFonts w:asciiTheme="minorBidi" w:hAnsiTheme="minorBidi"/>
          <w:szCs w:val="28"/>
          <w:rtl/>
        </w:rPr>
        <w:t>‏</w:t>
      </w:r>
    </w:p>
    <w:p w:rsidR="00643974" w:rsidRPr="00B57098" w:rsidRDefault="00643974" w:rsidP="00BE5828">
      <w:pPr>
        <w:pStyle w:val="ListParagraph"/>
        <w:numPr>
          <w:ilvl w:val="0"/>
          <w:numId w:val="15"/>
        </w:numPr>
        <w:rPr>
          <w:rFonts w:asciiTheme="minorBidi" w:hAnsiTheme="minorBidi"/>
          <w:szCs w:val="28"/>
        </w:rPr>
      </w:pPr>
      <w:r w:rsidRPr="00B57098">
        <w:rPr>
          <w:rFonts w:asciiTheme="minorBidi" w:hAnsiTheme="minorBidi"/>
          <w:szCs w:val="28"/>
        </w:rPr>
        <w:t>Burchard, H. H. (1898). </w:t>
      </w:r>
      <w:r w:rsidRPr="00B57098">
        <w:rPr>
          <w:rFonts w:asciiTheme="minorBidi" w:hAnsiTheme="minorBidi"/>
          <w:i/>
          <w:iCs/>
          <w:szCs w:val="28"/>
        </w:rPr>
        <w:t>A Text-book of Dental Pathology and Therapeutics, Including Pharmacology: Being a Treatise on the Principles and Practice of Dental Medicine for Students and Practitioners</w:t>
      </w:r>
      <w:r w:rsidRPr="00B57098">
        <w:rPr>
          <w:rFonts w:asciiTheme="minorBidi" w:hAnsiTheme="minorBidi"/>
          <w:szCs w:val="28"/>
        </w:rPr>
        <w:t>. Lea brothers &amp; Company.</w:t>
      </w:r>
      <w:r w:rsidRPr="00B57098">
        <w:rPr>
          <w:rFonts w:asciiTheme="minorBidi" w:hAnsiTheme="minorBidi"/>
          <w:szCs w:val="28"/>
          <w:rtl/>
        </w:rPr>
        <w:t>‏</w:t>
      </w:r>
    </w:p>
    <w:p w:rsidR="005B237E" w:rsidRPr="00B57098" w:rsidRDefault="005B237E" w:rsidP="00BE5828">
      <w:pPr>
        <w:pStyle w:val="ListParagraph"/>
        <w:numPr>
          <w:ilvl w:val="0"/>
          <w:numId w:val="15"/>
        </w:numPr>
        <w:rPr>
          <w:rFonts w:asciiTheme="minorBidi" w:hAnsiTheme="minorBidi"/>
          <w:szCs w:val="28"/>
        </w:rPr>
      </w:pPr>
      <w:r w:rsidRPr="00B57098">
        <w:rPr>
          <w:rFonts w:asciiTheme="minorBidi" w:hAnsiTheme="minorBidi"/>
          <w:szCs w:val="28"/>
        </w:rPr>
        <w:t>Berg, C., Unosson, E., Engqvist, H., &amp; Xia, W. (2021). Comparative Study of Technologies for Tubule Occlusion and Treatment of Dentin Hypersensitivity. </w:t>
      </w:r>
      <w:r w:rsidRPr="00B57098">
        <w:rPr>
          <w:rFonts w:asciiTheme="minorBidi" w:hAnsiTheme="minorBidi"/>
          <w:i/>
          <w:iCs/>
          <w:szCs w:val="28"/>
        </w:rPr>
        <w:t>Journal of Functional Biomaterials</w:t>
      </w:r>
      <w:r w:rsidRPr="00B57098">
        <w:rPr>
          <w:rFonts w:asciiTheme="minorBidi" w:hAnsiTheme="minorBidi"/>
          <w:szCs w:val="28"/>
        </w:rPr>
        <w:t>, </w:t>
      </w:r>
      <w:r w:rsidRPr="00B57098">
        <w:rPr>
          <w:rFonts w:asciiTheme="minorBidi" w:hAnsiTheme="minorBidi"/>
          <w:i/>
          <w:iCs/>
          <w:szCs w:val="28"/>
        </w:rPr>
        <w:t>12</w:t>
      </w:r>
      <w:r w:rsidRPr="00B57098">
        <w:rPr>
          <w:rFonts w:asciiTheme="minorBidi" w:hAnsiTheme="minorBidi"/>
          <w:szCs w:val="28"/>
        </w:rPr>
        <w:t>(2), 27.</w:t>
      </w:r>
      <w:r w:rsidRPr="00B57098">
        <w:rPr>
          <w:rFonts w:asciiTheme="minorBidi" w:hAnsiTheme="minorBidi"/>
          <w:szCs w:val="28"/>
          <w:rtl/>
        </w:rPr>
        <w:t>‏</w:t>
      </w:r>
    </w:p>
    <w:p w:rsidR="000B782F" w:rsidRPr="00B57098" w:rsidRDefault="000B782F" w:rsidP="00BE5828">
      <w:pPr>
        <w:pStyle w:val="ListParagraph"/>
        <w:numPr>
          <w:ilvl w:val="0"/>
          <w:numId w:val="15"/>
        </w:numPr>
        <w:rPr>
          <w:rFonts w:asciiTheme="minorBidi" w:hAnsiTheme="minorBidi"/>
          <w:szCs w:val="28"/>
        </w:rPr>
      </w:pPr>
      <w:r w:rsidRPr="00B57098">
        <w:rPr>
          <w:rFonts w:asciiTheme="minorBidi" w:hAnsiTheme="minorBidi"/>
          <w:szCs w:val="28"/>
        </w:rPr>
        <w:t>Berman, L. H. (1985). Dentinal sensation and hypersensitivity: a review of mechanisms and treatment alternatives. </w:t>
      </w:r>
      <w:r w:rsidRPr="00B57098">
        <w:rPr>
          <w:rFonts w:asciiTheme="minorBidi" w:hAnsiTheme="minorBidi"/>
          <w:i/>
          <w:iCs/>
          <w:szCs w:val="28"/>
        </w:rPr>
        <w:t>Journal of periodontology</w:t>
      </w:r>
      <w:r w:rsidRPr="00B57098">
        <w:rPr>
          <w:rFonts w:asciiTheme="minorBidi" w:hAnsiTheme="minorBidi"/>
          <w:szCs w:val="28"/>
        </w:rPr>
        <w:t>, </w:t>
      </w:r>
      <w:r w:rsidRPr="00B57098">
        <w:rPr>
          <w:rFonts w:asciiTheme="minorBidi" w:hAnsiTheme="minorBidi"/>
          <w:i/>
          <w:iCs/>
          <w:szCs w:val="28"/>
        </w:rPr>
        <w:t>56</w:t>
      </w:r>
      <w:r w:rsidRPr="00B57098">
        <w:rPr>
          <w:rFonts w:asciiTheme="minorBidi" w:hAnsiTheme="minorBidi"/>
          <w:szCs w:val="28"/>
        </w:rPr>
        <w:t>(4), 216-222.</w:t>
      </w:r>
      <w:r w:rsidRPr="00B57098">
        <w:rPr>
          <w:rFonts w:asciiTheme="minorBidi" w:hAnsiTheme="minorBidi"/>
          <w:szCs w:val="28"/>
          <w:rtl/>
        </w:rPr>
        <w:t>‏</w:t>
      </w:r>
    </w:p>
    <w:p w:rsidR="002A23FF" w:rsidRPr="00B57098" w:rsidRDefault="002A23FF" w:rsidP="00BE5828">
      <w:pPr>
        <w:pStyle w:val="ListParagraph"/>
        <w:numPr>
          <w:ilvl w:val="0"/>
          <w:numId w:val="15"/>
        </w:numPr>
        <w:rPr>
          <w:rFonts w:asciiTheme="minorBidi" w:hAnsiTheme="minorBidi"/>
          <w:szCs w:val="28"/>
        </w:rPr>
      </w:pPr>
      <w:r w:rsidRPr="00B57098">
        <w:rPr>
          <w:rFonts w:asciiTheme="minorBidi" w:hAnsiTheme="minorBidi"/>
          <w:szCs w:val="28"/>
        </w:rPr>
        <w:t>Bansal, Disha, and Mrinalini Mahajan. "Comparative evaluation of effectiveness of three desensitizing tooth pastes for relief in the dentinal hypersensitivity." </w:t>
      </w:r>
      <w:r w:rsidRPr="00B57098">
        <w:rPr>
          <w:rFonts w:asciiTheme="minorBidi" w:hAnsiTheme="minorBidi"/>
          <w:i/>
          <w:iCs/>
          <w:szCs w:val="28"/>
        </w:rPr>
        <w:t>Contemporary Clinical Dentistry</w:t>
      </w:r>
      <w:r w:rsidRPr="00B57098">
        <w:rPr>
          <w:rFonts w:asciiTheme="minorBidi" w:hAnsiTheme="minorBidi"/>
          <w:szCs w:val="28"/>
        </w:rPr>
        <w:t> 8.2 (2017): 195.</w:t>
      </w:r>
      <w:r w:rsidRPr="00B57098">
        <w:rPr>
          <w:rFonts w:asciiTheme="minorBidi" w:hAnsiTheme="minorBidi"/>
          <w:szCs w:val="28"/>
          <w:rtl/>
        </w:rPr>
        <w:t>‏</w:t>
      </w:r>
    </w:p>
    <w:p w:rsidR="004C2862" w:rsidRPr="00B57098" w:rsidRDefault="004C2862" w:rsidP="00BE5828">
      <w:pPr>
        <w:pStyle w:val="ListParagraph"/>
        <w:numPr>
          <w:ilvl w:val="0"/>
          <w:numId w:val="15"/>
        </w:numPr>
        <w:rPr>
          <w:rFonts w:asciiTheme="minorBidi" w:hAnsiTheme="minorBidi"/>
          <w:szCs w:val="28"/>
        </w:rPr>
      </w:pPr>
      <w:r w:rsidRPr="00B57098">
        <w:rPr>
          <w:rFonts w:asciiTheme="minorBidi" w:hAnsiTheme="minorBidi"/>
          <w:szCs w:val="28"/>
        </w:rPr>
        <w:t>Banfield, N., &amp; Addy, M. (2004). Dentine hypersensitivity: development and evaluation of model in situ to study tubule patency. </w:t>
      </w:r>
      <w:r w:rsidRPr="00B57098">
        <w:rPr>
          <w:rFonts w:asciiTheme="minorBidi" w:hAnsiTheme="minorBidi"/>
          <w:i/>
          <w:iCs/>
          <w:szCs w:val="28"/>
        </w:rPr>
        <w:t>Journal of clinical periodontology</w:t>
      </w:r>
      <w:r w:rsidRPr="00B57098">
        <w:rPr>
          <w:rFonts w:asciiTheme="minorBidi" w:hAnsiTheme="minorBidi"/>
          <w:szCs w:val="28"/>
        </w:rPr>
        <w:t>, </w:t>
      </w:r>
      <w:r w:rsidRPr="00B57098">
        <w:rPr>
          <w:rFonts w:asciiTheme="minorBidi" w:hAnsiTheme="minorBidi"/>
          <w:i/>
          <w:iCs/>
          <w:szCs w:val="28"/>
        </w:rPr>
        <w:t>31</w:t>
      </w:r>
      <w:r w:rsidRPr="00B57098">
        <w:rPr>
          <w:rFonts w:asciiTheme="minorBidi" w:hAnsiTheme="minorBidi"/>
          <w:szCs w:val="28"/>
        </w:rPr>
        <w:t>(5), 325-335.</w:t>
      </w:r>
      <w:r w:rsidRPr="00B57098">
        <w:rPr>
          <w:rFonts w:asciiTheme="minorBidi" w:hAnsiTheme="minorBidi"/>
          <w:szCs w:val="28"/>
          <w:rtl/>
        </w:rPr>
        <w:t>‏</w:t>
      </w:r>
    </w:p>
    <w:p w:rsidR="009D5B02" w:rsidRPr="00B57098" w:rsidRDefault="00C8216C" w:rsidP="00BE5828">
      <w:pPr>
        <w:pStyle w:val="ListParagraph"/>
        <w:numPr>
          <w:ilvl w:val="0"/>
          <w:numId w:val="15"/>
        </w:numPr>
        <w:rPr>
          <w:rFonts w:asciiTheme="minorBidi" w:hAnsiTheme="minorBidi"/>
          <w:szCs w:val="28"/>
        </w:rPr>
      </w:pPr>
      <w:r w:rsidRPr="00B57098">
        <w:rPr>
          <w:rFonts w:asciiTheme="minorBidi" w:hAnsiTheme="minorBidi"/>
          <w:szCs w:val="28"/>
        </w:rPr>
        <w:t xml:space="preserve">Brugnera Junior, </w:t>
      </w:r>
      <w:r w:rsidR="009D5B02" w:rsidRPr="00B57098">
        <w:rPr>
          <w:rFonts w:asciiTheme="minorBidi" w:hAnsiTheme="minorBidi"/>
          <w:szCs w:val="28"/>
        </w:rPr>
        <w:t>Pécora, J. D., Cussioli, A. L., Guerisoli, D. M., Marchesan, M. A., Sousa-Neto, M. D., A. (2001). Evaluation of Er: YAG laser and EDTAC on dentin adhesion of six endodontic sealers. </w:t>
      </w:r>
      <w:r w:rsidR="009D5B02" w:rsidRPr="00B57098">
        <w:rPr>
          <w:rFonts w:asciiTheme="minorBidi" w:hAnsiTheme="minorBidi"/>
          <w:i/>
          <w:iCs/>
          <w:szCs w:val="28"/>
        </w:rPr>
        <w:t>Braz Dent J</w:t>
      </w:r>
      <w:r w:rsidR="009D5B02" w:rsidRPr="00B57098">
        <w:rPr>
          <w:rFonts w:asciiTheme="minorBidi" w:hAnsiTheme="minorBidi"/>
          <w:szCs w:val="28"/>
        </w:rPr>
        <w:t>, </w:t>
      </w:r>
      <w:r w:rsidR="009D5B02" w:rsidRPr="00B57098">
        <w:rPr>
          <w:rFonts w:asciiTheme="minorBidi" w:hAnsiTheme="minorBidi"/>
          <w:i/>
          <w:iCs/>
          <w:szCs w:val="28"/>
        </w:rPr>
        <w:t>12</w:t>
      </w:r>
      <w:r w:rsidR="009D5B02" w:rsidRPr="00B57098">
        <w:rPr>
          <w:rFonts w:asciiTheme="minorBidi" w:hAnsiTheme="minorBidi"/>
          <w:szCs w:val="28"/>
        </w:rPr>
        <w:t>(1), 27-30.</w:t>
      </w:r>
      <w:r w:rsidR="009D5B02" w:rsidRPr="00B57098">
        <w:rPr>
          <w:rFonts w:asciiTheme="minorBidi" w:hAnsiTheme="minorBidi"/>
          <w:szCs w:val="28"/>
          <w:rtl/>
        </w:rPr>
        <w:t>‏</w:t>
      </w:r>
    </w:p>
    <w:p w:rsidR="00131DF1" w:rsidRPr="00B57098" w:rsidRDefault="00131DF1" w:rsidP="00BE5828">
      <w:pPr>
        <w:pStyle w:val="ListParagraph"/>
        <w:numPr>
          <w:ilvl w:val="0"/>
          <w:numId w:val="15"/>
        </w:numPr>
        <w:rPr>
          <w:rFonts w:asciiTheme="minorBidi" w:hAnsiTheme="minorBidi"/>
          <w:szCs w:val="28"/>
        </w:rPr>
      </w:pPr>
      <w:r w:rsidRPr="00B57098">
        <w:rPr>
          <w:rFonts w:asciiTheme="minorBidi" w:hAnsiTheme="minorBidi"/>
          <w:szCs w:val="28"/>
        </w:rPr>
        <w:t>Borges A, Barcellos D, Gomes C. Dentin Hypersensitivity— Etiology, Treatment Possibilities and Other Related Factors: A Literature review. World Journal of Dentistry, 2012</w:t>
      </w:r>
      <w:r w:rsidR="00BE5828" w:rsidRPr="00B57098">
        <w:rPr>
          <w:rFonts w:asciiTheme="minorBidi" w:hAnsiTheme="minorBidi"/>
          <w:szCs w:val="28"/>
        </w:rPr>
        <w:t>; 3</w:t>
      </w:r>
      <w:r w:rsidRPr="00B57098">
        <w:rPr>
          <w:rFonts w:asciiTheme="minorBidi" w:hAnsiTheme="minorBidi"/>
          <w:szCs w:val="28"/>
        </w:rPr>
        <w:t>(1):60–67.</w:t>
      </w:r>
    </w:p>
    <w:p w:rsidR="00DC10B1" w:rsidRPr="00B57098" w:rsidRDefault="00DC10B1" w:rsidP="00BE5828">
      <w:pPr>
        <w:pStyle w:val="ListParagraph"/>
        <w:numPr>
          <w:ilvl w:val="0"/>
          <w:numId w:val="15"/>
        </w:numPr>
        <w:rPr>
          <w:rFonts w:asciiTheme="minorBidi" w:hAnsiTheme="minorBidi"/>
          <w:szCs w:val="28"/>
        </w:rPr>
      </w:pPr>
      <w:r w:rsidRPr="00B57098">
        <w:rPr>
          <w:rFonts w:asciiTheme="minorBidi" w:hAnsiTheme="minorBidi"/>
          <w:szCs w:val="28"/>
        </w:rPr>
        <w:t>Beun S, Bailly C, Devaux J, Leloup G Physical, mechanical and rheological characterization of resin-based pit and fissure sealants compared to flowable resin composites. Dent Mater.2012</w:t>
      </w:r>
      <w:r w:rsidR="00BE5828" w:rsidRPr="00B57098">
        <w:rPr>
          <w:rFonts w:asciiTheme="minorBidi" w:hAnsiTheme="minorBidi"/>
          <w:szCs w:val="28"/>
        </w:rPr>
        <w:t>; 28</w:t>
      </w:r>
      <w:r w:rsidRPr="00B57098">
        <w:rPr>
          <w:rFonts w:asciiTheme="minorBidi" w:hAnsiTheme="minorBidi"/>
          <w:szCs w:val="28"/>
        </w:rPr>
        <w:t>(4):349-59.</w:t>
      </w:r>
    </w:p>
    <w:p w:rsidR="007E3C2E" w:rsidRPr="00B57098" w:rsidRDefault="007E3C2E" w:rsidP="00BE5828">
      <w:pPr>
        <w:pStyle w:val="ListParagraph"/>
        <w:numPr>
          <w:ilvl w:val="0"/>
          <w:numId w:val="15"/>
        </w:numPr>
        <w:rPr>
          <w:rFonts w:asciiTheme="minorBidi" w:hAnsiTheme="minorBidi"/>
          <w:szCs w:val="28"/>
        </w:rPr>
      </w:pPr>
      <w:r w:rsidRPr="00B57098">
        <w:rPr>
          <w:rFonts w:asciiTheme="minorBidi" w:hAnsiTheme="minorBidi"/>
          <w:szCs w:val="28"/>
        </w:rPr>
        <w:t>Barrientos, C., Xaus, G., Leighton, C., Martin, J., Gordan, V. V., &amp; Moncada, G. (2011). Oxalic acid under adhesive restorations as a means to reduce dentin sensitivity: a four-month clinical trial. </w:t>
      </w:r>
      <w:r w:rsidRPr="00B57098">
        <w:rPr>
          <w:rFonts w:asciiTheme="minorBidi" w:hAnsiTheme="minorBidi"/>
          <w:i/>
          <w:iCs/>
          <w:szCs w:val="28"/>
        </w:rPr>
        <w:t>Operative dentistry</w:t>
      </w:r>
      <w:r w:rsidRPr="00B57098">
        <w:rPr>
          <w:rFonts w:asciiTheme="minorBidi" w:hAnsiTheme="minorBidi"/>
          <w:szCs w:val="28"/>
        </w:rPr>
        <w:t>, </w:t>
      </w:r>
      <w:r w:rsidRPr="00B57098">
        <w:rPr>
          <w:rFonts w:asciiTheme="minorBidi" w:hAnsiTheme="minorBidi"/>
          <w:i/>
          <w:iCs/>
          <w:szCs w:val="28"/>
        </w:rPr>
        <w:t>36</w:t>
      </w:r>
      <w:r w:rsidRPr="00B57098">
        <w:rPr>
          <w:rFonts w:asciiTheme="minorBidi" w:hAnsiTheme="minorBidi"/>
          <w:szCs w:val="28"/>
        </w:rPr>
        <w:t>(2), 126-132.</w:t>
      </w:r>
      <w:r w:rsidRPr="00B57098">
        <w:rPr>
          <w:rFonts w:asciiTheme="minorBidi" w:hAnsiTheme="minorBidi"/>
          <w:szCs w:val="28"/>
          <w:rtl/>
        </w:rPr>
        <w:t>‏</w:t>
      </w:r>
    </w:p>
    <w:p w:rsidR="0059783A" w:rsidRPr="00B57098" w:rsidRDefault="0059783A" w:rsidP="00BE5828">
      <w:pPr>
        <w:rPr>
          <w:rFonts w:asciiTheme="minorBidi" w:hAnsiTheme="minorBidi"/>
          <w:b/>
          <w:bCs/>
          <w:szCs w:val="28"/>
        </w:rPr>
      </w:pPr>
      <w:r w:rsidRPr="00B57098">
        <w:rPr>
          <w:rFonts w:asciiTheme="minorBidi" w:hAnsiTheme="minorBidi"/>
          <w:b/>
          <w:bCs/>
          <w:szCs w:val="28"/>
        </w:rPr>
        <w:t xml:space="preserve">        C</w:t>
      </w:r>
    </w:p>
    <w:p w:rsidR="0059783A" w:rsidRPr="00B57098" w:rsidRDefault="0059783A" w:rsidP="00BE5828">
      <w:pPr>
        <w:pStyle w:val="ListParagraph"/>
        <w:numPr>
          <w:ilvl w:val="0"/>
          <w:numId w:val="17"/>
        </w:numPr>
        <w:rPr>
          <w:rFonts w:asciiTheme="minorBidi" w:hAnsiTheme="minorBidi"/>
          <w:szCs w:val="28"/>
        </w:rPr>
      </w:pPr>
      <w:r w:rsidRPr="00B57098">
        <w:rPr>
          <w:rFonts w:asciiTheme="minorBidi" w:hAnsiTheme="minorBidi"/>
          <w:szCs w:val="28"/>
        </w:rPr>
        <w:t>Chabanski, M.B., et al., Prevalence of cervical dentine sensitivity in a population of patients referred to a specialist Periodontology Department. J Clin Periodontol, 1996. 23(11): p. 989-92.</w:t>
      </w:r>
    </w:p>
    <w:p w:rsidR="0059783A" w:rsidRPr="00B57098" w:rsidRDefault="0059783A" w:rsidP="00BE5828">
      <w:pPr>
        <w:pStyle w:val="ListParagraph"/>
        <w:numPr>
          <w:ilvl w:val="0"/>
          <w:numId w:val="17"/>
        </w:numPr>
        <w:rPr>
          <w:rFonts w:asciiTheme="minorBidi" w:hAnsiTheme="minorBidi"/>
          <w:szCs w:val="28"/>
        </w:rPr>
      </w:pPr>
      <w:r w:rsidRPr="00B57098">
        <w:rPr>
          <w:rFonts w:asciiTheme="minorBidi" w:hAnsiTheme="minorBidi"/>
          <w:szCs w:val="28"/>
        </w:rPr>
        <w:t>Cunha-Cruz, J., et al., The prevalence of dentin hypersensitivity in general dental practices in the northwest United States. J Am Dent Assoc, 2013. 144(3): p. 288-96.</w:t>
      </w:r>
    </w:p>
    <w:p w:rsidR="00BB7C63" w:rsidRPr="00B57098" w:rsidRDefault="00BB7C63" w:rsidP="00BE5828">
      <w:pPr>
        <w:pStyle w:val="ListParagraph"/>
        <w:numPr>
          <w:ilvl w:val="0"/>
          <w:numId w:val="17"/>
        </w:numPr>
        <w:rPr>
          <w:rFonts w:asciiTheme="minorBidi" w:hAnsiTheme="minorBidi"/>
          <w:szCs w:val="28"/>
        </w:rPr>
      </w:pPr>
      <w:r w:rsidRPr="00B57098">
        <w:rPr>
          <w:rFonts w:asciiTheme="minorBidi" w:hAnsiTheme="minorBidi"/>
          <w:szCs w:val="28"/>
        </w:rPr>
        <w:t>Cummins, Diane. "Recent advances in dentin hypersensitivity: clinically proven treatments for instant and lasting sensitivity relief." </w:t>
      </w:r>
      <w:r w:rsidRPr="00B57098">
        <w:rPr>
          <w:rFonts w:asciiTheme="minorBidi" w:hAnsiTheme="minorBidi"/>
          <w:i/>
          <w:iCs/>
          <w:szCs w:val="28"/>
        </w:rPr>
        <w:t>American Journal of Dentistry</w:t>
      </w:r>
      <w:r w:rsidRPr="00B57098">
        <w:rPr>
          <w:rFonts w:asciiTheme="minorBidi" w:hAnsiTheme="minorBidi"/>
          <w:szCs w:val="28"/>
        </w:rPr>
        <w:t> 23 (2010): 3A-13A.</w:t>
      </w:r>
      <w:r w:rsidRPr="00B57098">
        <w:rPr>
          <w:rFonts w:asciiTheme="minorBidi" w:hAnsiTheme="minorBidi"/>
          <w:szCs w:val="28"/>
          <w:rtl/>
        </w:rPr>
        <w:t>‏</w:t>
      </w:r>
    </w:p>
    <w:p w:rsidR="00CF6F94" w:rsidRPr="00B57098" w:rsidRDefault="00CF6F94" w:rsidP="00BE5828">
      <w:pPr>
        <w:pStyle w:val="ListParagraph"/>
        <w:numPr>
          <w:ilvl w:val="0"/>
          <w:numId w:val="17"/>
        </w:numPr>
        <w:rPr>
          <w:rFonts w:asciiTheme="minorBidi" w:hAnsiTheme="minorBidi"/>
          <w:szCs w:val="28"/>
        </w:rPr>
      </w:pPr>
      <w:r w:rsidRPr="00B57098">
        <w:rPr>
          <w:rFonts w:asciiTheme="minorBidi" w:hAnsiTheme="minorBidi"/>
          <w:szCs w:val="28"/>
        </w:rPr>
        <w:t>Cai F, Shen P, Morgan MV, et al. Remineralization of enamel subsurface lesions in situ by sugar-free lozenges containing casein phosphopeptide-amorp-hous calcium phosphate. Aust Dent J 2003;48(4):240-3</w:t>
      </w:r>
    </w:p>
    <w:p w:rsidR="00B27B98" w:rsidRPr="00B57098" w:rsidRDefault="00B27B98" w:rsidP="00BE5828">
      <w:pPr>
        <w:pStyle w:val="ListParagraph"/>
        <w:numPr>
          <w:ilvl w:val="0"/>
          <w:numId w:val="17"/>
        </w:numPr>
        <w:rPr>
          <w:rFonts w:asciiTheme="minorBidi" w:hAnsiTheme="minorBidi"/>
          <w:szCs w:val="28"/>
        </w:rPr>
      </w:pPr>
      <w:r w:rsidRPr="00B57098">
        <w:rPr>
          <w:rFonts w:asciiTheme="minorBidi" w:hAnsiTheme="minorBidi"/>
          <w:szCs w:val="28"/>
        </w:rPr>
        <w:t>Cunha-Cruz, J., Stout, J. R., Heaton, L. J., Wataha, J. C., &amp; Northwest PRECEDENT. (2011). Dentin hypersensitivity and oxalates: a systematic review. </w:t>
      </w:r>
      <w:r w:rsidRPr="00B57098">
        <w:rPr>
          <w:rFonts w:asciiTheme="minorBidi" w:hAnsiTheme="minorBidi"/>
          <w:i/>
          <w:iCs/>
          <w:szCs w:val="28"/>
        </w:rPr>
        <w:t>Journal of dental research</w:t>
      </w:r>
      <w:r w:rsidRPr="00B57098">
        <w:rPr>
          <w:rFonts w:asciiTheme="minorBidi" w:hAnsiTheme="minorBidi"/>
          <w:szCs w:val="28"/>
        </w:rPr>
        <w:t>, </w:t>
      </w:r>
      <w:r w:rsidRPr="00B57098">
        <w:rPr>
          <w:rFonts w:asciiTheme="minorBidi" w:hAnsiTheme="minorBidi"/>
          <w:i/>
          <w:iCs/>
          <w:szCs w:val="28"/>
        </w:rPr>
        <w:t>90</w:t>
      </w:r>
      <w:r w:rsidRPr="00B57098">
        <w:rPr>
          <w:rFonts w:asciiTheme="minorBidi" w:hAnsiTheme="minorBidi"/>
          <w:szCs w:val="28"/>
        </w:rPr>
        <w:t>(3), 304-310.</w:t>
      </w:r>
      <w:r w:rsidRPr="00B57098">
        <w:rPr>
          <w:rFonts w:asciiTheme="minorBidi" w:hAnsiTheme="minorBidi"/>
          <w:szCs w:val="28"/>
          <w:rtl/>
        </w:rPr>
        <w:t>‏</w:t>
      </w:r>
    </w:p>
    <w:p w:rsidR="00B27B98" w:rsidRPr="00B57098" w:rsidRDefault="00B27B98" w:rsidP="00BE5828">
      <w:pPr>
        <w:pStyle w:val="ListParagraph"/>
        <w:numPr>
          <w:ilvl w:val="0"/>
          <w:numId w:val="17"/>
        </w:numPr>
        <w:rPr>
          <w:rFonts w:asciiTheme="minorBidi" w:hAnsiTheme="minorBidi"/>
          <w:szCs w:val="28"/>
        </w:rPr>
      </w:pPr>
      <w:r w:rsidRPr="00B57098">
        <w:rPr>
          <w:rFonts w:asciiTheme="minorBidi" w:hAnsiTheme="minorBidi"/>
          <w:szCs w:val="28"/>
        </w:rPr>
        <w:t>Cuenin, M. F., Scheidt, M. J., O'Neal, R. B., Strong, S. L., Pashley, D. H., Horner, J. A., &amp; Van Dyke, T. E. (1991). An in vivo study of dentin sensitivity: the relation of dentin sensitivity and the patency of dentin tubules. </w:t>
      </w:r>
      <w:r w:rsidRPr="00B57098">
        <w:rPr>
          <w:rFonts w:asciiTheme="minorBidi" w:hAnsiTheme="minorBidi"/>
          <w:i/>
          <w:iCs/>
          <w:szCs w:val="28"/>
        </w:rPr>
        <w:t>Journal of periodontology</w:t>
      </w:r>
      <w:r w:rsidRPr="00B57098">
        <w:rPr>
          <w:rFonts w:asciiTheme="minorBidi" w:hAnsiTheme="minorBidi"/>
          <w:szCs w:val="28"/>
        </w:rPr>
        <w:t>, </w:t>
      </w:r>
      <w:r w:rsidRPr="00B57098">
        <w:rPr>
          <w:rFonts w:asciiTheme="minorBidi" w:hAnsiTheme="minorBidi"/>
          <w:i/>
          <w:iCs/>
          <w:szCs w:val="28"/>
        </w:rPr>
        <w:t>62</w:t>
      </w:r>
      <w:r w:rsidRPr="00B57098">
        <w:rPr>
          <w:rFonts w:asciiTheme="minorBidi" w:hAnsiTheme="minorBidi"/>
          <w:szCs w:val="28"/>
        </w:rPr>
        <w:t>(11), 668-673.</w:t>
      </w:r>
      <w:r w:rsidRPr="00B57098">
        <w:rPr>
          <w:rFonts w:asciiTheme="minorBidi" w:hAnsiTheme="minorBidi"/>
          <w:szCs w:val="28"/>
          <w:rtl/>
        </w:rPr>
        <w:t>‏</w:t>
      </w:r>
    </w:p>
    <w:p w:rsidR="0059783A" w:rsidRPr="00B57098" w:rsidRDefault="0059783A" w:rsidP="00BE5828">
      <w:pPr>
        <w:ind w:left="360"/>
        <w:rPr>
          <w:rFonts w:asciiTheme="minorBidi" w:hAnsiTheme="minorBidi"/>
          <w:b/>
          <w:bCs/>
          <w:szCs w:val="28"/>
        </w:rPr>
      </w:pPr>
      <w:r w:rsidRPr="00B57098">
        <w:rPr>
          <w:rFonts w:asciiTheme="minorBidi" w:hAnsiTheme="minorBidi"/>
          <w:b/>
          <w:bCs/>
          <w:szCs w:val="28"/>
        </w:rPr>
        <w:t xml:space="preserve">     D</w:t>
      </w:r>
    </w:p>
    <w:p w:rsidR="0059783A" w:rsidRPr="00B57098" w:rsidRDefault="0059783A" w:rsidP="00BE5828">
      <w:pPr>
        <w:pStyle w:val="ListParagraph"/>
        <w:numPr>
          <w:ilvl w:val="0"/>
          <w:numId w:val="18"/>
        </w:numPr>
        <w:rPr>
          <w:rFonts w:asciiTheme="minorBidi" w:hAnsiTheme="minorBidi"/>
          <w:b/>
          <w:bCs/>
          <w:szCs w:val="28"/>
        </w:rPr>
      </w:pPr>
      <w:r w:rsidRPr="00B57098">
        <w:rPr>
          <w:rFonts w:asciiTheme="minorBidi" w:hAnsiTheme="minorBidi"/>
          <w:szCs w:val="28"/>
        </w:rPr>
        <w:t>Dababneh RH Khouri AT, Addy M. Dentine hypersensitivity - an enigma? A review of terminology, mechanisms, aetiology and management. Br Dent J. 1999; 187: 606-611</w:t>
      </w:r>
    </w:p>
    <w:p w:rsidR="00000E7C" w:rsidRPr="00B57098" w:rsidRDefault="00000E7C" w:rsidP="00BE5828">
      <w:pPr>
        <w:pStyle w:val="ListParagraph"/>
        <w:numPr>
          <w:ilvl w:val="0"/>
          <w:numId w:val="18"/>
        </w:numPr>
        <w:rPr>
          <w:rFonts w:asciiTheme="minorBidi" w:hAnsiTheme="minorBidi"/>
          <w:szCs w:val="28"/>
        </w:rPr>
      </w:pPr>
      <w:r w:rsidRPr="00B57098">
        <w:rPr>
          <w:rFonts w:asciiTheme="minorBidi" w:hAnsiTheme="minorBidi"/>
          <w:szCs w:val="28"/>
        </w:rPr>
        <w:t>Davari A, Ataei E, Assarzadeh H. Dentin hypersensitivity: etiology, diagnosis and treatment; a literature review. J Dent (Shiraz). 2013.</w:t>
      </w:r>
    </w:p>
    <w:p w:rsidR="00493F97" w:rsidRPr="00B57098" w:rsidRDefault="00493F97" w:rsidP="00BE5828">
      <w:pPr>
        <w:pStyle w:val="ListParagraph"/>
        <w:numPr>
          <w:ilvl w:val="0"/>
          <w:numId w:val="18"/>
        </w:numPr>
        <w:rPr>
          <w:rFonts w:asciiTheme="minorBidi" w:hAnsiTheme="minorBidi"/>
          <w:szCs w:val="28"/>
        </w:rPr>
      </w:pPr>
      <w:r w:rsidRPr="00B57098">
        <w:rPr>
          <w:rFonts w:asciiTheme="minorBidi" w:hAnsiTheme="minorBidi"/>
          <w:szCs w:val="28"/>
        </w:rPr>
        <w:t>Dähnhardt, J. E., Gygax, M., Martignoni, B., Suter, P., &amp; Lussi, A. (2008). Treating sensitive cervical areas with ozone. A prospective controlled clinical trial. </w:t>
      </w:r>
      <w:r w:rsidRPr="00B57098">
        <w:rPr>
          <w:rFonts w:asciiTheme="minorBidi" w:hAnsiTheme="minorBidi"/>
          <w:i/>
          <w:iCs/>
          <w:szCs w:val="28"/>
        </w:rPr>
        <w:t>American journal of dentistry</w:t>
      </w:r>
      <w:r w:rsidRPr="00B57098">
        <w:rPr>
          <w:rFonts w:asciiTheme="minorBidi" w:hAnsiTheme="minorBidi"/>
          <w:szCs w:val="28"/>
        </w:rPr>
        <w:t>, </w:t>
      </w:r>
      <w:r w:rsidRPr="00B57098">
        <w:rPr>
          <w:rFonts w:asciiTheme="minorBidi" w:hAnsiTheme="minorBidi"/>
          <w:i/>
          <w:iCs/>
          <w:szCs w:val="28"/>
        </w:rPr>
        <w:t>21</w:t>
      </w:r>
      <w:r w:rsidRPr="00B57098">
        <w:rPr>
          <w:rFonts w:asciiTheme="minorBidi" w:hAnsiTheme="minorBidi"/>
          <w:szCs w:val="28"/>
        </w:rPr>
        <w:t>(2), 74-76.</w:t>
      </w:r>
      <w:r w:rsidRPr="00B57098">
        <w:rPr>
          <w:rFonts w:asciiTheme="minorBidi" w:hAnsiTheme="minorBidi"/>
          <w:szCs w:val="28"/>
          <w:rtl/>
        </w:rPr>
        <w:t>‏</w:t>
      </w:r>
    </w:p>
    <w:p w:rsidR="00DC10B1" w:rsidRPr="00B57098" w:rsidRDefault="00DC10B1" w:rsidP="00BE5828">
      <w:pPr>
        <w:pStyle w:val="ListParagraph"/>
        <w:numPr>
          <w:ilvl w:val="0"/>
          <w:numId w:val="18"/>
        </w:numPr>
        <w:rPr>
          <w:rFonts w:asciiTheme="minorBidi" w:hAnsiTheme="minorBidi"/>
          <w:szCs w:val="28"/>
        </w:rPr>
      </w:pPr>
      <w:r w:rsidRPr="00B57098">
        <w:rPr>
          <w:rFonts w:asciiTheme="minorBidi" w:hAnsiTheme="minorBidi"/>
          <w:szCs w:val="28"/>
        </w:rPr>
        <w:t>Ding YJ, Yao H, Wang GH, Song H. A randomized double-blind placebo-controlled study of the efficacy of Clinpro XT varnish and Gluma dentin desensitizer on dentin hypersensitivity. Am J Dent.2014</w:t>
      </w:r>
      <w:r w:rsidR="00B57098" w:rsidRPr="00B57098">
        <w:rPr>
          <w:rFonts w:asciiTheme="minorBidi" w:hAnsiTheme="minorBidi"/>
          <w:szCs w:val="28"/>
        </w:rPr>
        <w:t>; 27</w:t>
      </w:r>
      <w:r w:rsidRPr="00B57098">
        <w:rPr>
          <w:rFonts w:asciiTheme="minorBidi" w:hAnsiTheme="minorBidi"/>
          <w:szCs w:val="28"/>
        </w:rPr>
        <w:t>(2):79-83.</w:t>
      </w:r>
    </w:p>
    <w:p w:rsidR="00070D5D" w:rsidRPr="00B57098" w:rsidRDefault="00070D5D" w:rsidP="00BE5828">
      <w:pPr>
        <w:pStyle w:val="ListParagraph"/>
        <w:numPr>
          <w:ilvl w:val="0"/>
          <w:numId w:val="18"/>
        </w:numPr>
        <w:rPr>
          <w:rFonts w:asciiTheme="minorBidi" w:hAnsiTheme="minorBidi"/>
          <w:szCs w:val="28"/>
        </w:rPr>
      </w:pPr>
      <w:r w:rsidRPr="00B57098">
        <w:rPr>
          <w:rFonts w:asciiTheme="minorBidi" w:hAnsiTheme="minorBidi"/>
          <w:szCs w:val="28"/>
        </w:rPr>
        <w:t>Douglas-de-Oliveira, D. W., Vitor, G. P., Silveira, J. O., Martins, C. C., Costa, F. O., &amp; Cota, L. O. M. (2018). Effect of dentin hypersensitivity treatment on oral health related quality of life—A systematic review and meta-analysis. </w:t>
      </w:r>
      <w:r w:rsidRPr="00B57098">
        <w:rPr>
          <w:rFonts w:asciiTheme="minorBidi" w:hAnsiTheme="minorBidi"/>
          <w:i/>
          <w:iCs/>
          <w:szCs w:val="28"/>
        </w:rPr>
        <w:t>Journal of Dentistry</w:t>
      </w:r>
      <w:r w:rsidRPr="00B57098">
        <w:rPr>
          <w:rFonts w:asciiTheme="minorBidi" w:hAnsiTheme="minorBidi"/>
          <w:szCs w:val="28"/>
        </w:rPr>
        <w:t>, </w:t>
      </w:r>
      <w:r w:rsidRPr="00B57098">
        <w:rPr>
          <w:rFonts w:asciiTheme="minorBidi" w:hAnsiTheme="minorBidi"/>
          <w:i/>
          <w:iCs/>
          <w:szCs w:val="28"/>
        </w:rPr>
        <w:t>71</w:t>
      </w:r>
      <w:r w:rsidRPr="00B57098">
        <w:rPr>
          <w:rFonts w:asciiTheme="minorBidi" w:hAnsiTheme="minorBidi"/>
          <w:szCs w:val="28"/>
        </w:rPr>
        <w:t>, 1-8.</w:t>
      </w:r>
      <w:r w:rsidRPr="00B57098">
        <w:rPr>
          <w:rFonts w:asciiTheme="minorBidi" w:hAnsiTheme="minorBidi"/>
          <w:szCs w:val="28"/>
          <w:rtl/>
        </w:rPr>
        <w:t>‏</w:t>
      </w:r>
    </w:p>
    <w:p w:rsidR="001F4E82" w:rsidRPr="00B57098" w:rsidRDefault="001F4E82" w:rsidP="00BE5828">
      <w:pPr>
        <w:rPr>
          <w:rFonts w:asciiTheme="minorBidi" w:hAnsiTheme="minorBidi"/>
          <w:b/>
          <w:bCs/>
          <w:szCs w:val="28"/>
        </w:rPr>
      </w:pPr>
      <w:r w:rsidRPr="00B57098">
        <w:rPr>
          <w:rFonts w:asciiTheme="minorBidi" w:hAnsiTheme="minorBidi"/>
          <w:b/>
          <w:bCs/>
          <w:szCs w:val="28"/>
        </w:rPr>
        <w:t xml:space="preserve">  F</w:t>
      </w:r>
    </w:p>
    <w:p w:rsidR="00BF2AFA" w:rsidRPr="00B57098" w:rsidRDefault="00BF2AFA" w:rsidP="00BE5828">
      <w:pPr>
        <w:pStyle w:val="ListParagraph"/>
        <w:numPr>
          <w:ilvl w:val="0"/>
          <w:numId w:val="24"/>
        </w:numPr>
        <w:rPr>
          <w:rFonts w:asciiTheme="minorBidi" w:hAnsiTheme="minorBidi"/>
          <w:szCs w:val="28"/>
        </w:rPr>
      </w:pPr>
      <w:r w:rsidRPr="00B57098">
        <w:rPr>
          <w:rFonts w:asciiTheme="minorBidi" w:hAnsiTheme="minorBidi"/>
          <w:szCs w:val="28"/>
        </w:rPr>
        <w:t>Forsback, A. P., Areva, S., &amp; Salonen, J. (2004). Mineralization of dentin induced by treatment with bioactive glass S53P4 in vitro. </w:t>
      </w:r>
      <w:r w:rsidRPr="00B57098">
        <w:rPr>
          <w:rFonts w:asciiTheme="minorBidi" w:hAnsiTheme="minorBidi"/>
          <w:i/>
          <w:iCs/>
          <w:szCs w:val="28"/>
        </w:rPr>
        <w:t>Acta Odontologica Scandinavica</w:t>
      </w:r>
      <w:r w:rsidRPr="00B57098">
        <w:rPr>
          <w:rFonts w:asciiTheme="minorBidi" w:hAnsiTheme="minorBidi"/>
          <w:szCs w:val="28"/>
        </w:rPr>
        <w:t>, </w:t>
      </w:r>
      <w:r w:rsidRPr="00B57098">
        <w:rPr>
          <w:rFonts w:asciiTheme="minorBidi" w:hAnsiTheme="minorBidi"/>
          <w:i/>
          <w:iCs/>
          <w:szCs w:val="28"/>
        </w:rPr>
        <w:t>62</w:t>
      </w:r>
      <w:r w:rsidRPr="00B57098">
        <w:rPr>
          <w:rFonts w:asciiTheme="minorBidi" w:hAnsiTheme="minorBidi"/>
          <w:szCs w:val="28"/>
        </w:rPr>
        <w:t>(1), 14-20.</w:t>
      </w:r>
      <w:r w:rsidRPr="00B57098">
        <w:rPr>
          <w:rFonts w:asciiTheme="minorBidi" w:hAnsiTheme="minorBidi"/>
          <w:szCs w:val="28"/>
          <w:rtl/>
        </w:rPr>
        <w:t>‏</w:t>
      </w:r>
    </w:p>
    <w:p w:rsidR="001F4E82" w:rsidRPr="00B57098" w:rsidRDefault="001F4E82" w:rsidP="00BE5828">
      <w:pPr>
        <w:pStyle w:val="ListParagraph"/>
        <w:numPr>
          <w:ilvl w:val="0"/>
          <w:numId w:val="22"/>
        </w:numPr>
        <w:rPr>
          <w:rFonts w:asciiTheme="minorBidi" w:hAnsiTheme="minorBidi"/>
          <w:szCs w:val="28"/>
        </w:rPr>
      </w:pPr>
      <w:r w:rsidRPr="00B57098">
        <w:rPr>
          <w:rFonts w:asciiTheme="minorBidi" w:hAnsiTheme="minorBidi"/>
          <w:szCs w:val="28"/>
        </w:rPr>
        <w:t>Franco EB, Benetti AR, Ishikiriama SK,Santiago SL, Lauris JR, Jorge MF et al. 5 year clinical performance of resin composite versus resin modified glass ionomer restorative system in non-carious cervical lesions. Oper Dent. 2006</w:t>
      </w:r>
      <w:r w:rsidR="00B57098" w:rsidRPr="00B57098">
        <w:rPr>
          <w:rFonts w:asciiTheme="minorBidi" w:hAnsiTheme="minorBidi"/>
          <w:szCs w:val="28"/>
        </w:rPr>
        <w:t>; 31</w:t>
      </w:r>
      <w:r w:rsidRPr="00B57098">
        <w:rPr>
          <w:rFonts w:asciiTheme="minorBidi" w:hAnsiTheme="minorBidi"/>
          <w:szCs w:val="28"/>
        </w:rPr>
        <w:t>(4): 403-8.</w:t>
      </w:r>
    </w:p>
    <w:p w:rsidR="009A5F15" w:rsidRPr="00B57098" w:rsidRDefault="009A5F15" w:rsidP="00BE5828">
      <w:pPr>
        <w:pStyle w:val="ListParagraph"/>
        <w:numPr>
          <w:ilvl w:val="0"/>
          <w:numId w:val="22"/>
        </w:numPr>
        <w:rPr>
          <w:rFonts w:asciiTheme="minorBidi" w:hAnsiTheme="minorBidi"/>
          <w:szCs w:val="28"/>
        </w:rPr>
      </w:pPr>
      <w:r w:rsidRPr="00B57098">
        <w:rPr>
          <w:rFonts w:asciiTheme="minorBidi" w:hAnsiTheme="minorBidi"/>
          <w:szCs w:val="28"/>
        </w:rPr>
        <w:t>de Freitas, S. A. A., de Oliveira, N. M. A., de Geus, J. L., Souza, S. D. F. C., Pereira, A. D. F. V., &amp; Bauer, J. (2021). Bioactive toothpastes in dentin hypersensitivity treatment: A systematic review. </w:t>
      </w:r>
      <w:r w:rsidRPr="00B57098">
        <w:rPr>
          <w:rFonts w:asciiTheme="minorBidi" w:hAnsiTheme="minorBidi"/>
          <w:i/>
          <w:iCs/>
          <w:szCs w:val="28"/>
        </w:rPr>
        <w:t>The Saudi Dental Journal</w:t>
      </w:r>
      <w:r w:rsidRPr="00B57098">
        <w:rPr>
          <w:rFonts w:asciiTheme="minorBidi" w:hAnsiTheme="minorBidi"/>
          <w:szCs w:val="28"/>
        </w:rPr>
        <w:t>, </w:t>
      </w:r>
      <w:r w:rsidRPr="00B57098">
        <w:rPr>
          <w:rFonts w:asciiTheme="minorBidi" w:hAnsiTheme="minorBidi"/>
          <w:i/>
          <w:iCs/>
          <w:szCs w:val="28"/>
        </w:rPr>
        <w:t>33</w:t>
      </w:r>
      <w:r w:rsidRPr="00B57098">
        <w:rPr>
          <w:rFonts w:asciiTheme="minorBidi" w:hAnsiTheme="minorBidi"/>
          <w:szCs w:val="28"/>
        </w:rPr>
        <w:t>(7), 395-403.</w:t>
      </w:r>
      <w:r w:rsidRPr="00B57098">
        <w:rPr>
          <w:rFonts w:asciiTheme="minorBidi" w:hAnsiTheme="minorBidi"/>
          <w:szCs w:val="28"/>
          <w:rtl/>
        </w:rPr>
        <w:t>‏</w:t>
      </w:r>
    </w:p>
    <w:p w:rsidR="00BB7C63" w:rsidRPr="00B57098" w:rsidRDefault="00BB7C63" w:rsidP="00BE5828">
      <w:pPr>
        <w:rPr>
          <w:rFonts w:asciiTheme="minorBidi" w:hAnsiTheme="minorBidi"/>
          <w:b/>
          <w:bCs/>
          <w:szCs w:val="28"/>
        </w:rPr>
      </w:pPr>
      <w:r w:rsidRPr="00B57098">
        <w:rPr>
          <w:rFonts w:asciiTheme="minorBidi" w:hAnsiTheme="minorBidi"/>
          <w:b/>
          <w:bCs/>
          <w:szCs w:val="28"/>
        </w:rPr>
        <w:t xml:space="preserve"> G</w:t>
      </w:r>
    </w:p>
    <w:p w:rsidR="00BB7C63" w:rsidRPr="00B57098" w:rsidRDefault="00BB7C63" w:rsidP="00BE5828">
      <w:pPr>
        <w:pStyle w:val="ListParagraph"/>
        <w:numPr>
          <w:ilvl w:val="0"/>
          <w:numId w:val="18"/>
        </w:numPr>
        <w:rPr>
          <w:rFonts w:asciiTheme="minorBidi" w:hAnsiTheme="minorBidi"/>
          <w:szCs w:val="28"/>
        </w:rPr>
      </w:pPr>
      <w:r w:rsidRPr="00B57098">
        <w:rPr>
          <w:rFonts w:asciiTheme="minorBidi" w:hAnsiTheme="minorBidi"/>
          <w:szCs w:val="28"/>
        </w:rPr>
        <w:t>Gillam DG. A new perspective on dentine hypersensitivity - guidelines for general dental practice. Dent Update. 2017</w:t>
      </w:r>
      <w:r w:rsidR="003603FC" w:rsidRPr="00B57098">
        <w:rPr>
          <w:rFonts w:asciiTheme="minorBidi" w:hAnsiTheme="minorBidi"/>
          <w:szCs w:val="28"/>
        </w:rPr>
        <w:t xml:space="preserve">. </w:t>
      </w:r>
    </w:p>
    <w:p w:rsidR="00493F97" w:rsidRPr="00B57098" w:rsidRDefault="00493F97" w:rsidP="00BE5828">
      <w:pPr>
        <w:pStyle w:val="ListParagraph"/>
        <w:numPr>
          <w:ilvl w:val="0"/>
          <w:numId w:val="18"/>
        </w:numPr>
        <w:rPr>
          <w:rFonts w:asciiTheme="minorBidi" w:hAnsiTheme="minorBidi"/>
          <w:szCs w:val="28"/>
        </w:rPr>
      </w:pPr>
      <w:r w:rsidRPr="00B57098">
        <w:rPr>
          <w:rFonts w:asciiTheme="minorBidi" w:hAnsiTheme="minorBidi"/>
          <w:szCs w:val="28"/>
        </w:rPr>
        <w:t>Gupta, G., and Mansi   B., "Ozone therapy in periodontics." </w:t>
      </w:r>
      <w:r w:rsidRPr="00B57098">
        <w:rPr>
          <w:rFonts w:asciiTheme="minorBidi" w:hAnsiTheme="minorBidi"/>
          <w:i/>
          <w:iCs/>
          <w:szCs w:val="28"/>
        </w:rPr>
        <w:t>Journal of medicine and life</w:t>
      </w:r>
      <w:r w:rsidRPr="00B57098">
        <w:rPr>
          <w:rFonts w:asciiTheme="minorBidi" w:hAnsiTheme="minorBidi"/>
          <w:szCs w:val="28"/>
        </w:rPr>
        <w:t> 5.1 (2012): 59.</w:t>
      </w:r>
      <w:r w:rsidRPr="00B57098">
        <w:rPr>
          <w:rFonts w:asciiTheme="minorBidi" w:hAnsiTheme="minorBidi"/>
          <w:szCs w:val="28"/>
          <w:rtl/>
        </w:rPr>
        <w:t>‏</w:t>
      </w:r>
    </w:p>
    <w:p w:rsidR="00653D20" w:rsidRPr="00B57098" w:rsidRDefault="00653D20" w:rsidP="00BE5828">
      <w:pPr>
        <w:pStyle w:val="ListParagraph"/>
        <w:numPr>
          <w:ilvl w:val="0"/>
          <w:numId w:val="18"/>
        </w:numPr>
        <w:rPr>
          <w:rFonts w:asciiTheme="minorBidi" w:hAnsiTheme="minorBidi"/>
          <w:szCs w:val="28"/>
        </w:rPr>
      </w:pPr>
      <w:r w:rsidRPr="00B57098">
        <w:rPr>
          <w:rFonts w:asciiTheme="minorBidi" w:hAnsiTheme="minorBidi"/>
          <w:szCs w:val="28"/>
        </w:rPr>
        <w:t>GOTTLIEB, B. (1948). Technique of impregnation for caries prophylaxis and desensitization of dentin. </w:t>
      </w:r>
      <w:r w:rsidRPr="00B57098">
        <w:rPr>
          <w:rFonts w:asciiTheme="minorBidi" w:hAnsiTheme="minorBidi"/>
          <w:i/>
          <w:iCs/>
          <w:szCs w:val="28"/>
        </w:rPr>
        <w:t>Bulletin. Oklahoma State Dental Association</w:t>
      </w:r>
      <w:r w:rsidRPr="00B57098">
        <w:rPr>
          <w:rFonts w:asciiTheme="minorBidi" w:hAnsiTheme="minorBidi"/>
          <w:szCs w:val="28"/>
        </w:rPr>
        <w:t>, </w:t>
      </w:r>
      <w:r w:rsidRPr="00B57098">
        <w:rPr>
          <w:rFonts w:asciiTheme="minorBidi" w:hAnsiTheme="minorBidi"/>
          <w:i/>
          <w:iCs/>
          <w:szCs w:val="28"/>
        </w:rPr>
        <w:t>36</w:t>
      </w:r>
      <w:r w:rsidRPr="00B57098">
        <w:rPr>
          <w:rFonts w:asciiTheme="minorBidi" w:hAnsiTheme="minorBidi"/>
          <w:szCs w:val="28"/>
        </w:rPr>
        <w:t>, 80-83.</w:t>
      </w:r>
      <w:r w:rsidRPr="00B57098">
        <w:rPr>
          <w:rFonts w:asciiTheme="minorBidi" w:hAnsiTheme="minorBidi"/>
          <w:szCs w:val="28"/>
          <w:rtl/>
        </w:rPr>
        <w:t>‏</w:t>
      </w:r>
    </w:p>
    <w:p w:rsidR="00274728" w:rsidRPr="00B57098" w:rsidRDefault="00274728" w:rsidP="00BE5828">
      <w:pPr>
        <w:pStyle w:val="ListParagraph"/>
        <w:numPr>
          <w:ilvl w:val="0"/>
          <w:numId w:val="18"/>
        </w:numPr>
        <w:rPr>
          <w:rFonts w:asciiTheme="minorBidi" w:hAnsiTheme="minorBidi"/>
          <w:szCs w:val="28"/>
        </w:rPr>
      </w:pPr>
      <w:r w:rsidRPr="00B57098">
        <w:rPr>
          <w:rFonts w:asciiTheme="minorBidi" w:hAnsiTheme="minorBidi"/>
          <w:szCs w:val="28"/>
        </w:rPr>
        <w:t>Goharkhay, K., Wernisch, J., Schoop, U., &amp; Moritz, A. (2007). Laser Treatment of Hypersensitive Dentin: Comparative ESEM Investigations. </w:t>
      </w:r>
      <w:r w:rsidRPr="00B57098">
        <w:rPr>
          <w:rFonts w:asciiTheme="minorBidi" w:hAnsiTheme="minorBidi"/>
          <w:i/>
          <w:iCs/>
          <w:szCs w:val="28"/>
        </w:rPr>
        <w:t>Journal of Oral Laser Applications</w:t>
      </w:r>
      <w:r w:rsidRPr="00B57098">
        <w:rPr>
          <w:rFonts w:asciiTheme="minorBidi" w:hAnsiTheme="minorBidi"/>
          <w:szCs w:val="28"/>
        </w:rPr>
        <w:t>, </w:t>
      </w:r>
      <w:r w:rsidRPr="00B57098">
        <w:rPr>
          <w:rFonts w:asciiTheme="minorBidi" w:hAnsiTheme="minorBidi"/>
          <w:i/>
          <w:iCs/>
          <w:szCs w:val="28"/>
        </w:rPr>
        <w:t>7</w:t>
      </w:r>
      <w:r w:rsidRPr="00B57098">
        <w:rPr>
          <w:rFonts w:asciiTheme="minorBidi" w:hAnsiTheme="minorBidi"/>
          <w:szCs w:val="28"/>
        </w:rPr>
        <w:t>(4).</w:t>
      </w:r>
      <w:r w:rsidRPr="00B57098">
        <w:rPr>
          <w:rFonts w:asciiTheme="minorBidi" w:hAnsiTheme="minorBidi"/>
          <w:szCs w:val="28"/>
          <w:rtl/>
        </w:rPr>
        <w:t>‏</w:t>
      </w:r>
    </w:p>
    <w:p w:rsidR="00520D9E" w:rsidRPr="00B57098" w:rsidRDefault="00520D9E" w:rsidP="00BE5828">
      <w:pPr>
        <w:pStyle w:val="ListParagraph"/>
        <w:numPr>
          <w:ilvl w:val="0"/>
          <w:numId w:val="18"/>
        </w:numPr>
        <w:rPr>
          <w:rFonts w:asciiTheme="minorBidi" w:hAnsiTheme="minorBidi"/>
          <w:szCs w:val="28"/>
        </w:rPr>
      </w:pPr>
      <w:r w:rsidRPr="00B57098">
        <w:rPr>
          <w:rFonts w:asciiTheme="minorBidi" w:hAnsiTheme="minorBidi"/>
          <w:szCs w:val="28"/>
        </w:rPr>
        <w:t>Gillam, D. G. (2017). A new perspective on dentine hypersensitivity–guidelines for general dental practice. </w:t>
      </w:r>
      <w:r w:rsidRPr="00B57098">
        <w:rPr>
          <w:rFonts w:asciiTheme="minorBidi" w:hAnsiTheme="minorBidi"/>
          <w:i/>
          <w:iCs/>
          <w:szCs w:val="28"/>
        </w:rPr>
        <w:t>Dental update</w:t>
      </w:r>
      <w:r w:rsidRPr="00B57098">
        <w:rPr>
          <w:rFonts w:asciiTheme="minorBidi" w:hAnsiTheme="minorBidi"/>
          <w:szCs w:val="28"/>
        </w:rPr>
        <w:t>, </w:t>
      </w:r>
      <w:r w:rsidRPr="00B57098">
        <w:rPr>
          <w:rFonts w:asciiTheme="minorBidi" w:hAnsiTheme="minorBidi"/>
          <w:i/>
          <w:iCs/>
          <w:szCs w:val="28"/>
        </w:rPr>
        <w:t>44</w:t>
      </w:r>
      <w:r w:rsidRPr="00B57098">
        <w:rPr>
          <w:rFonts w:asciiTheme="minorBidi" w:hAnsiTheme="minorBidi"/>
          <w:szCs w:val="28"/>
        </w:rPr>
        <w:t>(1), 33-42.</w:t>
      </w:r>
      <w:r w:rsidRPr="00B57098">
        <w:rPr>
          <w:rFonts w:asciiTheme="minorBidi" w:hAnsiTheme="minorBidi"/>
          <w:szCs w:val="28"/>
          <w:rtl/>
        </w:rPr>
        <w:t>‏</w:t>
      </w:r>
    </w:p>
    <w:tbl>
      <w:tblPr>
        <w:tblW w:w="6564" w:type="dxa"/>
        <w:shd w:val="clear" w:color="auto" w:fill="FFFFFF"/>
        <w:tblCellMar>
          <w:left w:w="0" w:type="dxa"/>
          <w:right w:w="0" w:type="dxa"/>
        </w:tblCellMar>
        <w:tblLook w:val="04A0" w:firstRow="1" w:lastRow="0" w:firstColumn="1" w:lastColumn="0" w:noHBand="0" w:noVBand="1"/>
      </w:tblPr>
      <w:tblGrid>
        <w:gridCol w:w="6564"/>
      </w:tblGrid>
      <w:tr w:rsidR="00493F97" w:rsidRPr="00B57098" w:rsidTr="00493F97">
        <w:tc>
          <w:tcPr>
            <w:tcW w:w="0" w:type="auto"/>
            <w:shd w:val="clear" w:color="auto" w:fill="FFFFFF"/>
            <w:vAlign w:val="center"/>
            <w:hideMark/>
          </w:tcPr>
          <w:p w:rsidR="00493F97" w:rsidRPr="00B57098" w:rsidRDefault="00493F97" w:rsidP="00BE5828">
            <w:pPr>
              <w:spacing w:line="240" w:lineRule="auto"/>
              <w:rPr>
                <w:rFonts w:asciiTheme="minorBidi" w:eastAsia="Times New Roman" w:hAnsiTheme="minorBidi"/>
                <w:sz w:val="20"/>
                <w:szCs w:val="24"/>
              </w:rPr>
            </w:pPr>
          </w:p>
        </w:tc>
      </w:tr>
    </w:tbl>
    <w:p w:rsidR="0082693E" w:rsidRPr="00B57098" w:rsidRDefault="0082693E" w:rsidP="00BE5828">
      <w:pPr>
        <w:rPr>
          <w:rFonts w:asciiTheme="minorBidi" w:hAnsiTheme="minorBidi"/>
          <w:b/>
          <w:bCs/>
          <w:szCs w:val="28"/>
        </w:rPr>
      </w:pPr>
      <w:r w:rsidRPr="00B57098">
        <w:rPr>
          <w:rFonts w:asciiTheme="minorBidi" w:hAnsiTheme="minorBidi"/>
          <w:b/>
          <w:bCs/>
          <w:szCs w:val="28"/>
        </w:rPr>
        <w:t xml:space="preserve">         H</w:t>
      </w:r>
    </w:p>
    <w:p w:rsidR="0082693E" w:rsidRPr="00B57098" w:rsidRDefault="0082693E" w:rsidP="00BE5828">
      <w:pPr>
        <w:pStyle w:val="ListParagraph"/>
        <w:numPr>
          <w:ilvl w:val="0"/>
          <w:numId w:val="18"/>
        </w:numPr>
        <w:rPr>
          <w:rFonts w:asciiTheme="minorBidi" w:hAnsiTheme="minorBidi"/>
          <w:szCs w:val="28"/>
        </w:rPr>
      </w:pPr>
      <w:r w:rsidRPr="00B57098">
        <w:rPr>
          <w:rFonts w:asciiTheme="minorBidi" w:hAnsiTheme="minorBidi"/>
          <w:szCs w:val="28"/>
        </w:rPr>
        <w:t>Hack, G. D., and V. P. Thompson. "Occlusion of dentinal tubules with cavity varnishes." </w:t>
      </w:r>
      <w:r w:rsidRPr="00B57098">
        <w:rPr>
          <w:rFonts w:asciiTheme="minorBidi" w:hAnsiTheme="minorBidi"/>
          <w:i/>
          <w:iCs/>
          <w:szCs w:val="28"/>
        </w:rPr>
        <w:t>Archives of Oral Biology</w:t>
      </w:r>
      <w:r w:rsidRPr="00B57098">
        <w:rPr>
          <w:rFonts w:asciiTheme="minorBidi" w:hAnsiTheme="minorBidi"/>
          <w:szCs w:val="28"/>
        </w:rPr>
        <w:t> 39 (1994): S149.</w:t>
      </w:r>
      <w:r w:rsidRPr="00B57098">
        <w:rPr>
          <w:rFonts w:asciiTheme="minorBidi" w:hAnsiTheme="minorBidi"/>
          <w:szCs w:val="28"/>
          <w:rtl/>
        </w:rPr>
        <w:t>‏</w:t>
      </w:r>
    </w:p>
    <w:p w:rsidR="00291244" w:rsidRPr="00B57098" w:rsidRDefault="00291244" w:rsidP="00BE5828">
      <w:pPr>
        <w:pStyle w:val="ListParagraph"/>
        <w:numPr>
          <w:ilvl w:val="0"/>
          <w:numId w:val="18"/>
        </w:numPr>
        <w:rPr>
          <w:rFonts w:asciiTheme="minorBidi" w:hAnsiTheme="minorBidi"/>
          <w:szCs w:val="28"/>
        </w:rPr>
      </w:pPr>
      <w:r w:rsidRPr="00B57098">
        <w:rPr>
          <w:rFonts w:asciiTheme="minorBidi" w:hAnsiTheme="minorBidi"/>
          <w:szCs w:val="28"/>
        </w:rPr>
        <w:t>Haywood, V. B., Caughman, W. F., Frazier, K. B., &amp; Myers, M. L. (2001). Tray delivery of potassium nitrate--fluoride to reduce bleaching sensitivity. </w:t>
      </w:r>
      <w:r w:rsidRPr="00B57098">
        <w:rPr>
          <w:rFonts w:asciiTheme="minorBidi" w:hAnsiTheme="minorBidi"/>
          <w:i/>
          <w:iCs/>
          <w:szCs w:val="28"/>
        </w:rPr>
        <w:t>Quintessence International</w:t>
      </w:r>
      <w:r w:rsidRPr="00B57098">
        <w:rPr>
          <w:rFonts w:asciiTheme="minorBidi" w:hAnsiTheme="minorBidi"/>
          <w:szCs w:val="28"/>
        </w:rPr>
        <w:t>, </w:t>
      </w:r>
      <w:r w:rsidRPr="00B57098">
        <w:rPr>
          <w:rFonts w:asciiTheme="minorBidi" w:hAnsiTheme="minorBidi"/>
          <w:i/>
          <w:iCs/>
          <w:szCs w:val="28"/>
        </w:rPr>
        <w:t>32</w:t>
      </w:r>
      <w:r w:rsidRPr="00B57098">
        <w:rPr>
          <w:rFonts w:asciiTheme="minorBidi" w:hAnsiTheme="minorBidi"/>
          <w:szCs w:val="28"/>
        </w:rPr>
        <w:t>(2).</w:t>
      </w:r>
      <w:r w:rsidRPr="00B57098">
        <w:rPr>
          <w:rFonts w:asciiTheme="minorBidi" w:hAnsiTheme="minorBidi"/>
          <w:szCs w:val="28"/>
          <w:rtl/>
        </w:rPr>
        <w:t>‏</w:t>
      </w:r>
    </w:p>
    <w:p w:rsidR="002A23FF" w:rsidRPr="00B57098" w:rsidRDefault="002A23FF" w:rsidP="00BE5828">
      <w:pPr>
        <w:pStyle w:val="ListParagraph"/>
        <w:numPr>
          <w:ilvl w:val="0"/>
          <w:numId w:val="18"/>
        </w:numPr>
        <w:rPr>
          <w:rFonts w:asciiTheme="minorBidi" w:hAnsiTheme="minorBidi"/>
          <w:szCs w:val="28"/>
        </w:rPr>
      </w:pPr>
      <w:r w:rsidRPr="00B57098">
        <w:rPr>
          <w:rFonts w:asciiTheme="minorBidi" w:hAnsiTheme="minorBidi"/>
          <w:szCs w:val="28"/>
        </w:rPr>
        <w:t>Hench, Larry L. "The story of Bioglass." </w:t>
      </w:r>
      <w:r w:rsidRPr="00B57098">
        <w:rPr>
          <w:rFonts w:asciiTheme="minorBidi" w:hAnsiTheme="minorBidi"/>
          <w:i/>
          <w:iCs/>
          <w:szCs w:val="28"/>
        </w:rPr>
        <w:t>Journal of Materials Science: Materials in Medicine</w:t>
      </w:r>
      <w:r w:rsidRPr="00B57098">
        <w:rPr>
          <w:rFonts w:asciiTheme="minorBidi" w:hAnsiTheme="minorBidi"/>
          <w:szCs w:val="28"/>
        </w:rPr>
        <w:t> 17.11 (2006): 967-978.</w:t>
      </w:r>
      <w:r w:rsidRPr="00B57098">
        <w:rPr>
          <w:rFonts w:asciiTheme="minorBidi" w:hAnsiTheme="minorBidi"/>
          <w:szCs w:val="28"/>
          <w:rtl/>
        </w:rPr>
        <w:t>‏</w:t>
      </w:r>
    </w:p>
    <w:p w:rsidR="00792805" w:rsidRPr="00B57098" w:rsidRDefault="00792805" w:rsidP="00BE5828">
      <w:pPr>
        <w:pStyle w:val="ListParagraph"/>
        <w:numPr>
          <w:ilvl w:val="0"/>
          <w:numId w:val="18"/>
        </w:numPr>
        <w:rPr>
          <w:rFonts w:asciiTheme="minorBidi" w:hAnsiTheme="minorBidi"/>
          <w:szCs w:val="28"/>
        </w:rPr>
      </w:pPr>
      <w:r w:rsidRPr="00B57098">
        <w:rPr>
          <w:rFonts w:asciiTheme="minorBidi" w:hAnsiTheme="minorBidi"/>
          <w:szCs w:val="28"/>
        </w:rPr>
        <w:t>Hongal S., Torwane N. A, Hiremath V., Jain M. A comparative evaluation of the effect of four desensitizing agents (strontium chloride, potassium nitrate, pro-argin, bioactive glass) on dentinal occlusion: An ex-vivo SEM study. Public health Rev: Int J Public health Res 2019</w:t>
      </w:r>
      <w:r w:rsidR="00B57098" w:rsidRPr="00B57098">
        <w:rPr>
          <w:rFonts w:asciiTheme="minorBidi" w:hAnsiTheme="minorBidi"/>
          <w:szCs w:val="28"/>
        </w:rPr>
        <w:t>; 6</w:t>
      </w:r>
      <w:r w:rsidRPr="00B57098">
        <w:rPr>
          <w:rFonts w:asciiTheme="minorBidi" w:hAnsiTheme="minorBidi"/>
          <w:szCs w:val="28"/>
        </w:rPr>
        <w:t>(4):147-153.doi:10.17511/ijphr.2019.i4.03.</w:t>
      </w:r>
    </w:p>
    <w:p w:rsidR="001663EB" w:rsidRPr="00B57098" w:rsidRDefault="001663EB" w:rsidP="00BE5828">
      <w:pPr>
        <w:rPr>
          <w:rFonts w:asciiTheme="minorBidi" w:hAnsiTheme="minorBidi"/>
          <w:b/>
          <w:bCs/>
          <w:szCs w:val="28"/>
        </w:rPr>
      </w:pPr>
      <w:r w:rsidRPr="00B57098">
        <w:rPr>
          <w:rFonts w:asciiTheme="minorBidi" w:hAnsiTheme="minorBidi"/>
          <w:b/>
          <w:bCs/>
          <w:szCs w:val="28"/>
        </w:rPr>
        <w:t xml:space="preserve">         K</w:t>
      </w:r>
    </w:p>
    <w:p w:rsidR="001663EB" w:rsidRPr="00B57098" w:rsidRDefault="001663EB" w:rsidP="00BE5828">
      <w:pPr>
        <w:pStyle w:val="ListParagraph"/>
        <w:numPr>
          <w:ilvl w:val="0"/>
          <w:numId w:val="20"/>
        </w:numPr>
        <w:rPr>
          <w:rFonts w:asciiTheme="minorBidi" w:hAnsiTheme="minorBidi"/>
          <w:b/>
          <w:bCs/>
          <w:szCs w:val="28"/>
        </w:rPr>
      </w:pPr>
      <w:r w:rsidRPr="00B57098">
        <w:rPr>
          <w:rFonts w:asciiTheme="minorBidi" w:hAnsiTheme="minorBidi"/>
          <w:szCs w:val="28"/>
        </w:rPr>
        <w:t>Kung, J. C., Wang, W. H., Chiang, Y. C., Yang-Wang, Y. T., Wang, Y. C., Chen, W. C., &amp; Shih, C. J. (2021). The Antibacterial and Remineralization Effect of Silver-Containing Mesoporous Bioactive Glass Sealing and Er-YAG Laser on Dentinal Tubules Treated in a Streptococcus mutans Cultivated Environment. </w:t>
      </w:r>
      <w:r w:rsidRPr="00B57098">
        <w:rPr>
          <w:rFonts w:asciiTheme="minorBidi" w:hAnsiTheme="minorBidi"/>
          <w:i/>
          <w:iCs/>
          <w:szCs w:val="28"/>
        </w:rPr>
        <w:t>Pharmaceuticals</w:t>
      </w:r>
      <w:r w:rsidRPr="00B57098">
        <w:rPr>
          <w:rFonts w:asciiTheme="minorBidi" w:hAnsiTheme="minorBidi"/>
          <w:szCs w:val="28"/>
        </w:rPr>
        <w:t>, </w:t>
      </w:r>
      <w:r w:rsidRPr="00B57098">
        <w:rPr>
          <w:rFonts w:asciiTheme="minorBidi" w:hAnsiTheme="minorBidi"/>
          <w:i/>
          <w:iCs/>
          <w:szCs w:val="28"/>
        </w:rPr>
        <w:t>14</w:t>
      </w:r>
      <w:r w:rsidRPr="00B57098">
        <w:rPr>
          <w:rFonts w:asciiTheme="minorBidi" w:hAnsiTheme="minorBidi"/>
          <w:szCs w:val="28"/>
        </w:rPr>
        <w:t>(11), 1124</w:t>
      </w:r>
      <w:r w:rsidRPr="00B57098">
        <w:rPr>
          <w:rFonts w:asciiTheme="minorBidi" w:hAnsiTheme="minorBidi"/>
          <w:b/>
          <w:bCs/>
          <w:szCs w:val="28"/>
        </w:rPr>
        <w:t>.</w:t>
      </w:r>
      <w:r w:rsidRPr="00B57098">
        <w:rPr>
          <w:rFonts w:asciiTheme="minorBidi" w:hAnsiTheme="minorBidi"/>
          <w:b/>
          <w:bCs/>
          <w:szCs w:val="28"/>
          <w:rtl/>
        </w:rPr>
        <w:t>‏</w:t>
      </w:r>
    </w:p>
    <w:p w:rsidR="009D5B02" w:rsidRPr="00B57098" w:rsidRDefault="009D5B02" w:rsidP="00BE5828">
      <w:pPr>
        <w:pStyle w:val="ListParagraph"/>
        <w:numPr>
          <w:ilvl w:val="0"/>
          <w:numId w:val="20"/>
        </w:numPr>
        <w:rPr>
          <w:rFonts w:asciiTheme="minorBidi" w:hAnsiTheme="minorBidi"/>
          <w:szCs w:val="28"/>
        </w:rPr>
      </w:pPr>
      <w:r w:rsidRPr="00B57098">
        <w:rPr>
          <w:rFonts w:asciiTheme="minorBidi" w:hAnsiTheme="minorBidi"/>
          <w:szCs w:val="28"/>
        </w:rPr>
        <w:t xml:space="preserve">Kimura Y, Wilder-Smith P, Yonaga K, denti Matsumoto K. Treatment of dentine (18). </w:t>
      </w:r>
      <w:r w:rsidR="00BE5828" w:rsidRPr="00B57098">
        <w:rPr>
          <w:rFonts w:asciiTheme="minorBidi" w:hAnsiTheme="minorBidi"/>
          <w:szCs w:val="28"/>
        </w:rPr>
        <w:t>Hypersensitivity</w:t>
      </w:r>
      <w:r w:rsidRPr="00B57098">
        <w:rPr>
          <w:rFonts w:asciiTheme="minorBidi" w:hAnsiTheme="minorBidi"/>
          <w:szCs w:val="28"/>
        </w:rPr>
        <w:t xml:space="preserve"> by lasers: a review. J Clin Caust Periodontol. 2000 Oct</w:t>
      </w:r>
      <w:r w:rsidR="00BE5828" w:rsidRPr="00B57098">
        <w:rPr>
          <w:rFonts w:asciiTheme="minorBidi" w:hAnsiTheme="minorBidi"/>
          <w:szCs w:val="28"/>
        </w:rPr>
        <w:t>; 27</w:t>
      </w:r>
      <w:r w:rsidRPr="00B57098">
        <w:rPr>
          <w:rFonts w:asciiTheme="minorBidi" w:hAnsiTheme="minorBidi"/>
          <w:szCs w:val="28"/>
        </w:rPr>
        <w:t>(10):715-21.</w:t>
      </w:r>
    </w:p>
    <w:p w:rsidR="00DC10B1" w:rsidRPr="00B57098" w:rsidRDefault="00274728" w:rsidP="00BE5828">
      <w:pPr>
        <w:pStyle w:val="ListParagraph"/>
        <w:numPr>
          <w:ilvl w:val="0"/>
          <w:numId w:val="20"/>
        </w:numPr>
        <w:rPr>
          <w:rFonts w:asciiTheme="minorBidi" w:hAnsiTheme="minorBidi"/>
          <w:szCs w:val="28"/>
        </w:rPr>
      </w:pPr>
      <w:r w:rsidRPr="00B57098">
        <w:rPr>
          <w:rFonts w:asciiTheme="minorBidi" w:hAnsiTheme="minorBidi"/>
          <w:szCs w:val="28"/>
        </w:rPr>
        <w:t>Kumar, N. G., &amp; Mehta, D. S. (2005). Short</w:t>
      </w:r>
      <w:r w:rsidRPr="00B57098">
        <w:rPr>
          <w:rFonts w:ascii="Cambria Math" w:hAnsi="Cambria Math" w:cs="Cambria Math"/>
          <w:szCs w:val="28"/>
        </w:rPr>
        <w:t>‐</w:t>
      </w:r>
      <w:r w:rsidRPr="00B57098">
        <w:rPr>
          <w:rFonts w:asciiTheme="minorBidi" w:hAnsiTheme="minorBidi"/>
          <w:szCs w:val="28"/>
        </w:rPr>
        <w:t>term assessment of the Nd: YAG laser with and without sodium fluoride varnish in the treatment of dentin hypersensitivity</w:t>
      </w:r>
      <w:r w:rsidRPr="00B57098">
        <w:rPr>
          <w:rFonts w:cs="Arial"/>
          <w:szCs w:val="28"/>
        </w:rPr>
        <w:t>–</w:t>
      </w:r>
      <w:r w:rsidRPr="00B57098">
        <w:rPr>
          <w:rFonts w:asciiTheme="minorBidi" w:hAnsiTheme="minorBidi"/>
          <w:szCs w:val="28"/>
        </w:rPr>
        <w:t>a clinical and scanning electron microscopy study. </w:t>
      </w:r>
      <w:r w:rsidRPr="00B57098">
        <w:rPr>
          <w:rFonts w:asciiTheme="minorBidi" w:hAnsiTheme="minorBidi"/>
          <w:i/>
          <w:iCs/>
          <w:szCs w:val="28"/>
        </w:rPr>
        <w:t>Journal of Periodontology</w:t>
      </w:r>
      <w:r w:rsidRPr="00B57098">
        <w:rPr>
          <w:rFonts w:asciiTheme="minorBidi" w:hAnsiTheme="minorBidi"/>
          <w:szCs w:val="28"/>
        </w:rPr>
        <w:t>, </w:t>
      </w:r>
      <w:r w:rsidRPr="00B57098">
        <w:rPr>
          <w:rFonts w:asciiTheme="minorBidi" w:hAnsiTheme="minorBidi"/>
          <w:i/>
          <w:iCs/>
          <w:szCs w:val="28"/>
        </w:rPr>
        <w:t>76</w:t>
      </w:r>
      <w:r w:rsidRPr="00B57098">
        <w:rPr>
          <w:rFonts w:asciiTheme="minorBidi" w:hAnsiTheme="minorBidi"/>
          <w:szCs w:val="28"/>
        </w:rPr>
        <w:t>(7), 1140-1147.</w:t>
      </w:r>
      <w:r w:rsidRPr="00B57098">
        <w:rPr>
          <w:rFonts w:asciiTheme="minorBidi" w:hAnsiTheme="minorBidi"/>
          <w:szCs w:val="28"/>
          <w:rtl/>
        </w:rPr>
        <w:t>‏</w:t>
      </w:r>
    </w:p>
    <w:p w:rsidR="00DC10B1" w:rsidRPr="00B57098" w:rsidRDefault="00DC10B1" w:rsidP="00BE5828">
      <w:pPr>
        <w:pStyle w:val="ListParagraph"/>
        <w:numPr>
          <w:ilvl w:val="0"/>
          <w:numId w:val="20"/>
        </w:numPr>
        <w:rPr>
          <w:rFonts w:asciiTheme="minorBidi" w:hAnsiTheme="minorBidi"/>
          <w:szCs w:val="28"/>
        </w:rPr>
      </w:pPr>
      <w:r w:rsidRPr="00B57098">
        <w:rPr>
          <w:rFonts w:asciiTheme="minorBidi" w:hAnsiTheme="minorBidi"/>
          <w:szCs w:val="28"/>
        </w:rPr>
        <w:t>Kovarik RE, Haubenreich JE, Gore D. Glass ionomer cements: a review of composition, chemistry, and biocompatibility as a dental and medical implant material. J Long Term Eff Med Implants. 2005</w:t>
      </w:r>
      <w:r w:rsidR="00B57098" w:rsidRPr="00B57098">
        <w:rPr>
          <w:rFonts w:asciiTheme="minorBidi" w:hAnsiTheme="minorBidi"/>
          <w:szCs w:val="28"/>
        </w:rPr>
        <w:t>; 15</w:t>
      </w:r>
      <w:r w:rsidRPr="00B57098">
        <w:rPr>
          <w:rFonts w:asciiTheme="minorBidi" w:hAnsiTheme="minorBidi"/>
          <w:szCs w:val="28"/>
        </w:rPr>
        <w:t>(6):655-71.</w:t>
      </w:r>
    </w:p>
    <w:p w:rsidR="00AD12FF" w:rsidRPr="00B57098" w:rsidRDefault="00AD12FF" w:rsidP="00BE5828">
      <w:pPr>
        <w:pStyle w:val="ListParagraph"/>
        <w:numPr>
          <w:ilvl w:val="0"/>
          <w:numId w:val="20"/>
        </w:numPr>
        <w:rPr>
          <w:rFonts w:asciiTheme="minorBidi" w:hAnsiTheme="minorBidi"/>
          <w:szCs w:val="28"/>
        </w:rPr>
      </w:pPr>
      <w:r w:rsidRPr="00B57098">
        <w:rPr>
          <w:rFonts w:asciiTheme="minorBidi" w:hAnsiTheme="minorBidi"/>
          <w:szCs w:val="28"/>
        </w:rPr>
        <w:t>Kalita, S. J., Bhardwaj, A., &amp; Bhatt, H. A. (2007). Nanocrystalline calcium phosphate ceramics in biomedical engineering. </w:t>
      </w:r>
      <w:r w:rsidRPr="00B57098">
        <w:rPr>
          <w:rFonts w:asciiTheme="minorBidi" w:hAnsiTheme="minorBidi"/>
          <w:i/>
          <w:iCs/>
          <w:szCs w:val="28"/>
        </w:rPr>
        <w:t>Materials Science and Engineering: C</w:t>
      </w:r>
      <w:r w:rsidRPr="00B57098">
        <w:rPr>
          <w:rFonts w:asciiTheme="minorBidi" w:hAnsiTheme="minorBidi"/>
          <w:szCs w:val="28"/>
        </w:rPr>
        <w:t>, </w:t>
      </w:r>
      <w:r w:rsidRPr="00B57098">
        <w:rPr>
          <w:rFonts w:asciiTheme="minorBidi" w:hAnsiTheme="minorBidi"/>
          <w:i/>
          <w:iCs/>
          <w:szCs w:val="28"/>
        </w:rPr>
        <w:t>27</w:t>
      </w:r>
      <w:r w:rsidRPr="00B57098">
        <w:rPr>
          <w:rFonts w:asciiTheme="minorBidi" w:hAnsiTheme="minorBidi"/>
          <w:szCs w:val="28"/>
        </w:rPr>
        <w:t>(3), 441-449.</w:t>
      </w:r>
      <w:r w:rsidRPr="00B57098">
        <w:rPr>
          <w:rFonts w:asciiTheme="minorBidi" w:hAnsiTheme="minorBidi"/>
          <w:szCs w:val="28"/>
          <w:rtl/>
        </w:rPr>
        <w:t>‏</w:t>
      </w:r>
    </w:p>
    <w:p w:rsidR="009D5B02" w:rsidRPr="00B57098" w:rsidRDefault="009D5B02" w:rsidP="00BE5828">
      <w:pPr>
        <w:ind w:left="720"/>
        <w:rPr>
          <w:rFonts w:asciiTheme="minorBidi" w:hAnsiTheme="minorBidi"/>
          <w:b/>
          <w:bCs/>
          <w:szCs w:val="28"/>
        </w:rPr>
      </w:pPr>
      <w:r w:rsidRPr="00B57098">
        <w:rPr>
          <w:rFonts w:asciiTheme="minorBidi" w:hAnsiTheme="minorBidi"/>
          <w:b/>
          <w:bCs/>
          <w:szCs w:val="28"/>
        </w:rPr>
        <w:t>L</w:t>
      </w:r>
    </w:p>
    <w:p w:rsidR="009D5B02" w:rsidRPr="00B57098" w:rsidRDefault="009D5B02" w:rsidP="00BE5828">
      <w:pPr>
        <w:pStyle w:val="ListParagraph"/>
        <w:numPr>
          <w:ilvl w:val="0"/>
          <w:numId w:val="20"/>
        </w:numPr>
        <w:rPr>
          <w:rFonts w:asciiTheme="minorBidi" w:hAnsiTheme="minorBidi"/>
          <w:szCs w:val="28"/>
        </w:rPr>
      </w:pPr>
      <w:r w:rsidRPr="00B57098">
        <w:rPr>
          <w:rFonts w:asciiTheme="minorBidi" w:hAnsiTheme="minorBidi"/>
          <w:szCs w:val="28"/>
        </w:rPr>
        <w:t xml:space="preserve">Ladalardo TC, Pinheiro A, Campos RA and Brugnera Júnior A, Zanin F, Albernaz PL. Laser therapy in the treatment of dentine (22). </w:t>
      </w:r>
      <w:r w:rsidR="00BE5828" w:rsidRPr="00B57098">
        <w:rPr>
          <w:rFonts w:asciiTheme="minorBidi" w:hAnsiTheme="minorBidi"/>
          <w:szCs w:val="28"/>
        </w:rPr>
        <w:t xml:space="preserve">Hypersensitivity. </w:t>
      </w:r>
      <w:r w:rsidRPr="00B57098">
        <w:rPr>
          <w:rFonts w:asciiTheme="minorBidi" w:hAnsiTheme="minorBidi"/>
          <w:szCs w:val="28"/>
        </w:rPr>
        <w:t>Braz. Dent. J. denti 2004</w:t>
      </w:r>
      <w:r w:rsidR="00B57098" w:rsidRPr="00B57098">
        <w:rPr>
          <w:rFonts w:asciiTheme="minorBidi" w:hAnsiTheme="minorBidi"/>
          <w:szCs w:val="28"/>
        </w:rPr>
        <w:t>; 15</w:t>
      </w:r>
      <w:r w:rsidRPr="00B57098">
        <w:rPr>
          <w:rFonts w:asciiTheme="minorBidi" w:hAnsiTheme="minorBidi"/>
          <w:szCs w:val="28"/>
        </w:rPr>
        <w:t>(2): 144-150.</w:t>
      </w:r>
    </w:p>
    <w:p w:rsidR="00291244" w:rsidRPr="00B57098" w:rsidRDefault="00291244" w:rsidP="00BE5828">
      <w:pPr>
        <w:pStyle w:val="ListParagraph"/>
        <w:numPr>
          <w:ilvl w:val="0"/>
          <w:numId w:val="20"/>
        </w:numPr>
        <w:rPr>
          <w:rFonts w:asciiTheme="minorBidi" w:hAnsiTheme="minorBidi"/>
          <w:szCs w:val="28"/>
        </w:rPr>
      </w:pPr>
      <w:r w:rsidRPr="00B57098">
        <w:rPr>
          <w:rFonts w:asciiTheme="minorBidi" w:hAnsiTheme="minorBidi"/>
          <w:szCs w:val="28"/>
        </w:rPr>
        <w:t>Lacevic, A., Vranic, E.</w:t>
      </w:r>
      <w:r w:rsidR="00BE5828" w:rsidRPr="00B57098">
        <w:rPr>
          <w:rFonts w:asciiTheme="minorBidi" w:hAnsiTheme="minorBidi"/>
          <w:szCs w:val="28"/>
        </w:rPr>
        <w:t>, Mehmedagic</w:t>
      </w:r>
      <w:r w:rsidRPr="00B57098">
        <w:rPr>
          <w:rFonts w:asciiTheme="minorBidi" w:hAnsiTheme="minorBidi"/>
          <w:szCs w:val="28"/>
        </w:rPr>
        <w:t>, A., &amp; Uzunovic, A. (2004). Formulation ingredients for toothpastes and mouthwashes. </w:t>
      </w:r>
      <w:r w:rsidRPr="00B57098">
        <w:rPr>
          <w:rFonts w:asciiTheme="minorBidi" w:hAnsiTheme="minorBidi"/>
          <w:i/>
          <w:iCs/>
          <w:szCs w:val="28"/>
        </w:rPr>
        <w:t>Bosnian journal of basic medical sciences</w:t>
      </w:r>
      <w:r w:rsidRPr="00B57098">
        <w:rPr>
          <w:rFonts w:asciiTheme="minorBidi" w:hAnsiTheme="minorBidi"/>
          <w:szCs w:val="28"/>
        </w:rPr>
        <w:t>, </w:t>
      </w:r>
      <w:r w:rsidRPr="00B57098">
        <w:rPr>
          <w:rFonts w:asciiTheme="minorBidi" w:hAnsiTheme="minorBidi"/>
          <w:i/>
          <w:iCs/>
          <w:szCs w:val="28"/>
        </w:rPr>
        <w:t>4</w:t>
      </w:r>
      <w:r w:rsidRPr="00B57098">
        <w:rPr>
          <w:rFonts w:asciiTheme="minorBidi" w:hAnsiTheme="minorBidi"/>
          <w:szCs w:val="28"/>
        </w:rPr>
        <w:t>(4), 51.</w:t>
      </w:r>
      <w:r w:rsidRPr="00B57098">
        <w:rPr>
          <w:rFonts w:asciiTheme="minorBidi" w:hAnsiTheme="minorBidi"/>
          <w:szCs w:val="28"/>
          <w:rtl/>
        </w:rPr>
        <w:t>‏</w:t>
      </w:r>
    </w:p>
    <w:p w:rsidR="00131DF1" w:rsidRPr="00B57098" w:rsidRDefault="00131DF1" w:rsidP="00BE5828">
      <w:pPr>
        <w:pStyle w:val="ListParagraph"/>
        <w:numPr>
          <w:ilvl w:val="0"/>
          <w:numId w:val="20"/>
        </w:numPr>
        <w:rPr>
          <w:rFonts w:asciiTheme="minorBidi" w:hAnsiTheme="minorBidi"/>
          <w:szCs w:val="28"/>
        </w:rPr>
      </w:pPr>
      <w:r w:rsidRPr="00B57098">
        <w:rPr>
          <w:rFonts w:asciiTheme="minorBidi" w:hAnsiTheme="minorBidi"/>
          <w:szCs w:val="28"/>
        </w:rPr>
        <w:t>Lan, W-H &amp; Lui, H-C. Treatment of dentin hypersensitivity by Nd: YAG Laser. Journal of Clinical Laser Medicine &amp; surgery (1996) 14: 89-92</w:t>
      </w:r>
      <w:r w:rsidR="007E3C2E" w:rsidRPr="00B57098">
        <w:rPr>
          <w:rFonts w:asciiTheme="minorBidi" w:hAnsiTheme="minorBidi"/>
          <w:szCs w:val="28"/>
        </w:rPr>
        <w:t>.</w:t>
      </w:r>
    </w:p>
    <w:p w:rsidR="007E3C2E" w:rsidRPr="00B57098" w:rsidRDefault="007E3C2E" w:rsidP="00BE5828">
      <w:pPr>
        <w:pStyle w:val="ListParagraph"/>
        <w:numPr>
          <w:ilvl w:val="0"/>
          <w:numId w:val="20"/>
        </w:numPr>
        <w:rPr>
          <w:rFonts w:asciiTheme="minorBidi" w:hAnsiTheme="minorBidi"/>
          <w:szCs w:val="28"/>
        </w:rPr>
      </w:pPr>
      <w:r w:rsidRPr="00B57098">
        <w:rPr>
          <w:rFonts w:asciiTheme="minorBidi" w:hAnsiTheme="minorBidi"/>
          <w:szCs w:val="28"/>
        </w:rPr>
        <w:t>Li, J., Hua, F., Xu, P., Huang, C., &amp; Yang, H. (2021). Effects of Desensitizers on Adhesive-Dentin Bond Strength: A Systematic Review and Meta-analysis. </w:t>
      </w:r>
      <w:r w:rsidRPr="00B57098">
        <w:rPr>
          <w:rFonts w:asciiTheme="minorBidi" w:hAnsiTheme="minorBidi"/>
          <w:i/>
          <w:iCs/>
          <w:szCs w:val="28"/>
        </w:rPr>
        <w:t>J. Adhes. Dent</w:t>
      </w:r>
      <w:r w:rsidRPr="00B57098">
        <w:rPr>
          <w:rFonts w:asciiTheme="minorBidi" w:hAnsiTheme="minorBidi"/>
          <w:szCs w:val="28"/>
        </w:rPr>
        <w:t>, </w:t>
      </w:r>
      <w:r w:rsidRPr="00B57098">
        <w:rPr>
          <w:rFonts w:asciiTheme="minorBidi" w:hAnsiTheme="minorBidi"/>
          <w:i/>
          <w:iCs/>
          <w:szCs w:val="28"/>
        </w:rPr>
        <w:t>23</w:t>
      </w:r>
      <w:r w:rsidRPr="00B57098">
        <w:rPr>
          <w:rFonts w:asciiTheme="minorBidi" w:hAnsiTheme="minorBidi"/>
          <w:szCs w:val="28"/>
        </w:rPr>
        <w:t>, 7-19.</w:t>
      </w:r>
      <w:r w:rsidRPr="00B57098">
        <w:rPr>
          <w:rFonts w:asciiTheme="minorBidi" w:hAnsiTheme="minorBidi"/>
          <w:szCs w:val="28"/>
          <w:rtl/>
        </w:rPr>
        <w:t>‏</w:t>
      </w:r>
    </w:p>
    <w:p w:rsidR="0042350A" w:rsidRPr="00B57098" w:rsidRDefault="00BE5828" w:rsidP="00BE5828">
      <w:pPr>
        <w:rPr>
          <w:rFonts w:asciiTheme="minorBidi" w:hAnsiTheme="minorBidi"/>
          <w:b/>
          <w:bCs/>
          <w:szCs w:val="28"/>
        </w:rPr>
      </w:pPr>
      <w:r w:rsidRPr="00B57098">
        <w:rPr>
          <w:rFonts w:asciiTheme="minorBidi" w:hAnsiTheme="minorBidi"/>
          <w:b/>
          <w:bCs/>
          <w:szCs w:val="28"/>
        </w:rPr>
        <w:t xml:space="preserve">        </w:t>
      </w:r>
      <w:r w:rsidR="0059783A" w:rsidRPr="00B57098">
        <w:rPr>
          <w:rFonts w:asciiTheme="minorBidi" w:hAnsiTheme="minorBidi"/>
          <w:b/>
          <w:bCs/>
          <w:szCs w:val="28"/>
        </w:rPr>
        <w:t>M</w:t>
      </w:r>
    </w:p>
    <w:p w:rsidR="0059783A" w:rsidRPr="00B57098" w:rsidRDefault="0059783A" w:rsidP="00BE5828">
      <w:pPr>
        <w:pStyle w:val="ListParagraph"/>
        <w:numPr>
          <w:ilvl w:val="0"/>
          <w:numId w:val="18"/>
        </w:numPr>
        <w:rPr>
          <w:rFonts w:asciiTheme="minorBidi" w:hAnsiTheme="minorBidi"/>
          <w:b/>
          <w:bCs/>
          <w:szCs w:val="28"/>
        </w:rPr>
      </w:pPr>
      <w:r w:rsidRPr="00B57098">
        <w:rPr>
          <w:rFonts w:asciiTheme="minorBidi" w:hAnsiTheme="minorBidi"/>
          <w:szCs w:val="28"/>
        </w:rPr>
        <w:t>Miglani S Aggarwal V, Ahuja B. Dentin hypersensitivity: Recent trends in management. J Conserv Dent. 2010; 13: 218-224.</w:t>
      </w:r>
    </w:p>
    <w:p w:rsidR="00343937" w:rsidRPr="00B57098" w:rsidRDefault="00343937" w:rsidP="00BE5828">
      <w:pPr>
        <w:pStyle w:val="ListParagraph"/>
        <w:numPr>
          <w:ilvl w:val="0"/>
          <w:numId w:val="18"/>
        </w:numPr>
        <w:rPr>
          <w:rFonts w:asciiTheme="minorBidi" w:hAnsiTheme="minorBidi"/>
          <w:szCs w:val="28"/>
        </w:rPr>
      </w:pPr>
      <w:r w:rsidRPr="00B57098">
        <w:rPr>
          <w:rFonts w:asciiTheme="minorBidi" w:hAnsiTheme="minorBidi"/>
          <w:szCs w:val="28"/>
        </w:rPr>
        <w:t>Marshall Jr, G. W., Marshall, S. J., Kinney, J. H., &amp; Balooch, M. (1997). The dentin substrate: structure and properties related to bonding. </w:t>
      </w:r>
      <w:r w:rsidRPr="00B57098">
        <w:rPr>
          <w:rFonts w:asciiTheme="minorBidi" w:hAnsiTheme="minorBidi"/>
          <w:i/>
          <w:iCs/>
          <w:szCs w:val="28"/>
        </w:rPr>
        <w:t>Journal of dentistry</w:t>
      </w:r>
      <w:r w:rsidRPr="00B57098">
        <w:rPr>
          <w:rFonts w:asciiTheme="minorBidi" w:hAnsiTheme="minorBidi"/>
          <w:szCs w:val="28"/>
        </w:rPr>
        <w:t>, </w:t>
      </w:r>
      <w:r w:rsidRPr="00B57098">
        <w:rPr>
          <w:rFonts w:asciiTheme="minorBidi" w:hAnsiTheme="minorBidi"/>
          <w:i/>
          <w:iCs/>
          <w:szCs w:val="28"/>
        </w:rPr>
        <w:t>25</w:t>
      </w:r>
      <w:r w:rsidRPr="00B57098">
        <w:rPr>
          <w:rFonts w:asciiTheme="minorBidi" w:hAnsiTheme="minorBidi"/>
          <w:szCs w:val="28"/>
        </w:rPr>
        <w:t>(6), 441-458.</w:t>
      </w:r>
      <w:r w:rsidRPr="00B57098">
        <w:rPr>
          <w:rFonts w:asciiTheme="minorBidi" w:hAnsiTheme="minorBidi"/>
          <w:szCs w:val="28"/>
          <w:rtl/>
        </w:rPr>
        <w:t>‏</w:t>
      </w:r>
    </w:p>
    <w:p w:rsidR="0042350A" w:rsidRPr="00B57098" w:rsidRDefault="0042350A" w:rsidP="00BE5828">
      <w:pPr>
        <w:pStyle w:val="ListParagraph"/>
        <w:numPr>
          <w:ilvl w:val="0"/>
          <w:numId w:val="18"/>
        </w:numPr>
        <w:rPr>
          <w:rFonts w:asciiTheme="minorBidi" w:hAnsiTheme="minorBidi"/>
          <w:szCs w:val="28"/>
        </w:rPr>
      </w:pPr>
      <w:r w:rsidRPr="00B57098">
        <w:rPr>
          <w:rFonts w:asciiTheme="minorBidi" w:hAnsiTheme="minorBidi"/>
          <w:szCs w:val="28"/>
        </w:rPr>
        <w:t>Mjör, I. A., Smith, M. R., Ferrari, M., &amp; Mannocci, F. (2001). The structure of dentine in the apical region of human teeth. </w:t>
      </w:r>
      <w:r w:rsidRPr="00B57098">
        <w:rPr>
          <w:rFonts w:asciiTheme="minorBidi" w:hAnsiTheme="minorBidi"/>
          <w:i/>
          <w:iCs/>
          <w:szCs w:val="28"/>
        </w:rPr>
        <w:t>International endodontic journal</w:t>
      </w:r>
      <w:r w:rsidRPr="00B57098">
        <w:rPr>
          <w:rFonts w:asciiTheme="minorBidi" w:hAnsiTheme="minorBidi"/>
          <w:szCs w:val="28"/>
        </w:rPr>
        <w:t>, </w:t>
      </w:r>
      <w:r w:rsidRPr="00B57098">
        <w:rPr>
          <w:rFonts w:asciiTheme="minorBidi" w:hAnsiTheme="minorBidi"/>
          <w:i/>
          <w:iCs/>
          <w:szCs w:val="28"/>
        </w:rPr>
        <w:t>34</w:t>
      </w:r>
      <w:r w:rsidRPr="00B57098">
        <w:rPr>
          <w:rFonts w:asciiTheme="minorBidi" w:hAnsiTheme="minorBidi"/>
          <w:szCs w:val="28"/>
        </w:rPr>
        <w:t>(5), 346-353.</w:t>
      </w:r>
      <w:r w:rsidRPr="00B57098">
        <w:rPr>
          <w:rFonts w:asciiTheme="minorBidi" w:hAnsiTheme="minorBidi"/>
          <w:szCs w:val="28"/>
          <w:rtl/>
        </w:rPr>
        <w:t>‏</w:t>
      </w:r>
    </w:p>
    <w:p w:rsidR="00BB7C63" w:rsidRPr="00B57098" w:rsidRDefault="00BB7C63" w:rsidP="00BE5828">
      <w:pPr>
        <w:pStyle w:val="ListParagraph"/>
        <w:numPr>
          <w:ilvl w:val="0"/>
          <w:numId w:val="18"/>
        </w:numPr>
        <w:rPr>
          <w:rFonts w:asciiTheme="minorBidi" w:hAnsiTheme="minorBidi"/>
          <w:szCs w:val="28"/>
        </w:rPr>
      </w:pPr>
      <w:r w:rsidRPr="00B57098">
        <w:rPr>
          <w:rFonts w:asciiTheme="minorBidi" w:hAnsiTheme="minorBidi"/>
          <w:szCs w:val="28"/>
        </w:rPr>
        <w:t>Malik VS, Popkin BM, Bray GA, Despres JP, Willett WC, Hu FB. Sugar sweetened beverages and risk of metabolic syndrome and type 2 diabetes:a meta-analysis. Diabetes Ca</w:t>
      </w:r>
      <w:r w:rsidR="00000E7C" w:rsidRPr="00B57098">
        <w:rPr>
          <w:rFonts w:asciiTheme="minorBidi" w:hAnsiTheme="minorBidi"/>
          <w:szCs w:val="28"/>
        </w:rPr>
        <w:t>re. 2010.</w:t>
      </w:r>
    </w:p>
    <w:p w:rsidR="00000E7C" w:rsidRPr="00B57098" w:rsidRDefault="00000E7C" w:rsidP="00BE5828">
      <w:pPr>
        <w:pStyle w:val="ListParagraph"/>
        <w:numPr>
          <w:ilvl w:val="0"/>
          <w:numId w:val="18"/>
        </w:numPr>
        <w:rPr>
          <w:rFonts w:asciiTheme="minorBidi" w:hAnsiTheme="minorBidi"/>
          <w:szCs w:val="28"/>
        </w:rPr>
      </w:pPr>
      <w:r w:rsidRPr="00B57098">
        <w:rPr>
          <w:rFonts w:asciiTheme="minorBidi" w:hAnsiTheme="minorBidi"/>
          <w:szCs w:val="28"/>
        </w:rPr>
        <w:t>Mayhew RB, Jessee SA, Martin RE. Association of occlusal, periodontal, and dietary factors with the presence of non-carious cervical dental lesions. AmJ Dent. 1998.</w:t>
      </w:r>
    </w:p>
    <w:p w:rsidR="006C232C" w:rsidRPr="00B57098" w:rsidRDefault="006C232C" w:rsidP="00BE5828">
      <w:pPr>
        <w:pStyle w:val="ListParagraph"/>
        <w:numPr>
          <w:ilvl w:val="0"/>
          <w:numId w:val="18"/>
        </w:numPr>
        <w:rPr>
          <w:rFonts w:asciiTheme="minorBidi" w:hAnsiTheme="minorBidi"/>
          <w:szCs w:val="28"/>
        </w:rPr>
      </w:pPr>
      <w:r w:rsidRPr="00B57098">
        <w:rPr>
          <w:rFonts w:asciiTheme="minorBidi" w:hAnsiTheme="minorBidi"/>
          <w:szCs w:val="28"/>
        </w:rPr>
        <w:t>Markowitz, K., Bilotto, G., &amp; Kim, S. (1991). Decreasing intradental nerve activity in the cat with potassium and divalent cations. </w:t>
      </w:r>
      <w:r w:rsidRPr="00B57098">
        <w:rPr>
          <w:rFonts w:asciiTheme="minorBidi" w:hAnsiTheme="minorBidi"/>
          <w:i/>
          <w:iCs/>
          <w:szCs w:val="28"/>
        </w:rPr>
        <w:t>Archives of oral biology</w:t>
      </w:r>
      <w:r w:rsidRPr="00B57098">
        <w:rPr>
          <w:rFonts w:asciiTheme="minorBidi" w:hAnsiTheme="minorBidi"/>
          <w:szCs w:val="28"/>
        </w:rPr>
        <w:t>, </w:t>
      </w:r>
      <w:r w:rsidRPr="00B57098">
        <w:rPr>
          <w:rFonts w:asciiTheme="minorBidi" w:hAnsiTheme="minorBidi"/>
          <w:i/>
          <w:iCs/>
          <w:szCs w:val="28"/>
        </w:rPr>
        <w:t>36</w:t>
      </w:r>
      <w:r w:rsidRPr="00B57098">
        <w:rPr>
          <w:rFonts w:asciiTheme="minorBidi" w:hAnsiTheme="minorBidi"/>
          <w:szCs w:val="28"/>
        </w:rPr>
        <w:t>(1), 1-7.</w:t>
      </w:r>
      <w:r w:rsidRPr="00B57098">
        <w:rPr>
          <w:rFonts w:asciiTheme="minorBidi" w:hAnsiTheme="minorBidi"/>
          <w:szCs w:val="28"/>
          <w:rtl/>
        </w:rPr>
        <w:t>‏</w:t>
      </w:r>
    </w:p>
    <w:p w:rsidR="001663EB" w:rsidRPr="00B57098" w:rsidRDefault="001663EB" w:rsidP="00BE5828">
      <w:pPr>
        <w:pStyle w:val="ListParagraph"/>
        <w:numPr>
          <w:ilvl w:val="0"/>
          <w:numId w:val="18"/>
        </w:numPr>
        <w:rPr>
          <w:rFonts w:asciiTheme="minorBidi" w:hAnsiTheme="minorBidi"/>
          <w:szCs w:val="28"/>
        </w:rPr>
      </w:pPr>
      <w:r w:rsidRPr="00B57098">
        <w:rPr>
          <w:rFonts w:asciiTheme="minorBidi" w:hAnsiTheme="minorBidi"/>
          <w:szCs w:val="28"/>
        </w:rPr>
        <w:t>Mahmood, A., Mneimne, M., Zou, L. F., Hill, R. G., &amp; Gillam, D. G. (2014). Abrasive wear of enamel by bioactive glass-based toothpastes. </w:t>
      </w:r>
      <w:r w:rsidRPr="00B57098">
        <w:rPr>
          <w:rFonts w:asciiTheme="minorBidi" w:hAnsiTheme="minorBidi"/>
          <w:i/>
          <w:iCs/>
          <w:szCs w:val="28"/>
        </w:rPr>
        <w:t>Am J Dent</w:t>
      </w:r>
      <w:r w:rsidRPr="00B57098">
        <w:rPr>
          <w:rFonts w:asciiTheme="minorBidi" w:hAnsiTheme="minorBidi"/>
          <w:szCs w:val="28"/>
        </w:rPr>
        <w:t>, </w:t>
      </w:r>
      <w:r w:rsidRPr="00B57098">
        <w:rPr>
          <w:rFonts w:asciiTheme="minorBidi" w:hAnsiTheme="minorBidi"/>
          <w:i/>
          <w:iCs/>
          <w:szCs w:val="28"/>
        </w:rPr>
        <w:t>27</w:t>
      </w:r>
      <w:r w:rsidRPr="00B57098">
        <w:rPr>
          <w:rFonts w:asciiTheme="minorBidi" w:hAnsiTheme="minorBidi"/>
          <w:szCs w:val="28"/>
        </w:rPr>
        <w:t>(5), 263-267.</w:t>
      </w:r>
      <w:r w:rsidRPr="00B57098">
        <w:rPr>
          <w:rFonts w:asciiTheme="minorBidi" w:hAnsiTheme="minorBidi"/>
          <w:szCs w:val="28"/>
          <w:rtl/>
        </w:rPr>
        <w:t>‏</w:t>
      </w:r>
    </w:p>
    <w:p w:rsidR="009D5B02" w:rsidRPr="00B57098" w:rsidRDefault="009D5B02" w:rsidP="00BE5828">
      <w:pPr>
        <w:pStyle w:val="ListParagraph"/>
        <w:numPr>
          <w:ilvl w:val="0"/>
          <w:numId w:val="18"/>
        </w:numPr>
        <w:rPr>
          <w:rFonts w:asciiTheme="minorBidi" w:hAnsiTheme="minorBidi"/>
          <w:szCs w:val="28"/>
        </w:rPr>
      </w:pPr>
      <w:r w:rsidRPr="00B57098">
        <w:rPr>
          <w:rFonts w:asciiTheme="minorBidi" w:hAnsiTheme="minorBidi"/>
          <w:szCs w:val="28"/>
        </w:rPr>
        <w:t>Matsumoto K, Funai H, Shirasuka T,Wakabayashi H. Effects of Nd:YAG-laser in treatment of cervical hypersensitive dentine. Jpn J Conserv Dent. (1985)</w:t>
      </w:r>
      <w:r w:rsidR="00B57098" w:rsidRPr="00B57098">
        <w:rPr>
          <w:rFonts w:asciiTheme="minorBidi" w:hAnsiTheme="minorBidi"/>
          <w:szCs w:val="28"/>
        </w:rPr>
        <w:t>; 28:760</w:t>
      </w:r>
      <w:r w:rsidRPr="00B57098">
        <w:rPr>
          <w:rFonts w:asciiTheme="minorBidi" w:hAnsiTheme="minorBidi"/>
          <w:szCs w:val="28"/>
        </w:rPr>
        <w:t>-5.</w:t>
      </w:r>
    </w:p>
    <w:p w:rsidR="00C8216C" w:rsidRPr="00B57098" w:rsidRDefault="00C8216C" w:rsidP="00BE5828">
      <w:pPr>
        <w:pStyle w:val="ListParagraph"/>
        <w:numPr>
          <w:ilvl w:val="0"/>
          <w:numId w:val="18"/>
        </w:numPr>
        <w:rPr>
          <w:rFonts w:asciiTheme="minorBidi" w:hAnsiTheme="minorBidi"/>
          <w:szCs w:val="28"/>
        </w:rPr>
      </w:pPr>
      <w:r w:rsidRPr="00B57098">
        <w:rPr>
          <w:rFonts w:asciiTheme="minorBidi" w:hAnsiTheme="minorBidi"/>
          <w:szCs w:val="28"/>
        </w:rPr>
        <w:t>Moritz, A., Gutknecht, N., Schoop, U.Goharkhay, K., Ebrahim, D., Wernisch, J. &amp; Sperr, W. The advantage of CO2- treated dental necks, in comparison with a standard method: Results of an in vivo study. Journal of Clinical Laser Medicine &amp; Surgery (1996) 14; 27-32.</w:t>
      </w:r>
    </w:p>
    <w:p w:rsidR="00C8216C" w:rsidRPr="00B57098" w:rsidRDefault="00C8216C" w:rsidP="00BE5828">
      <w:pPr>
        <w:pStyle w:val="ListParagraph"/>
        <w:numPr>
          <w:ilvl w:val="0"/>
          <w:numId w:val="18"/>
        </w:numPr>
        <w:rPr>
          <w:rFonts w:asciiTheme="minorBidi" w:hAnsiTheme="minorBidi"/>
          <w:szCs w:val="28"/>
        </w:rPr>
      </w:pPr>
      <w:r w:rsidRPr="00B57098">
        <w:rPr>
          <w:rFonts w:asciiTheme="minorBidi" w:hAnsiTheme="minorBidi"/>
          <w:szCs w:val="28"/>
        </w:rPr>
        <w:t>Matsumoto K, Kimura Y. Laser Therapy of Dentin Hypersensitivity. J Oral Laser Application. 2007</w:t>
      </w:r>
      <w:r w:rsidR="00B57098" w:rsidRPr="00B57098">
        <w:rPr>
          <w:rFonts w:asciiTheme="minorBidi" w:hAnsiTheme="minorBidi"/>
          <w:szCs w:val="28"/>
        </w:rPr>
        <w:t>; 7:7</w:t>
      </w:r>
      <w:r w:rsidRPr="00B57098">
        <w:rPr>
          <w:rFonts w:asciiTheme="minorBidi" w:hAnsiTheme="minorBidi"/>
          <w:szCs w:val="28"/>
        </w:rPr>
        <w:t>-25.</w:t>
      </w:r>
    </w:p>
    <w:p w:rsidR="00777EE7" w:rsidRPr="00B57098" w:rsidRDefault="00777EE7" w:rsidP="00BE5828">
      <w:pPr>
        <w:pStyle w:val="ListParagraph"/>
        <w:numPr>
          <w:ilvl w:val="0"/>
          <w:numId w:val="18"/>
        </w:numPr>
        <w:rPr>
          <w:rFonts w:asciiTheme="minorBidi" w:hAnsiTheme="minorBidi"/>
          <w:szCs w:val="28"/>
        </w:rPr>
      </w:pPr>
      <w:r w:rsidRPr="00B57098">
        <w:rPr>
          <w:rFonts w:asciiTheme="minorBidi" w:hAnsiTheme="minorBidi"/>
          <w:szCs w:val="28"/>
        </w:rPr>
        <w:t>Machado, A. C., Maximiano, V., Yoshida, M. L., Freitas, J. G., Mendes, F. M., Aranha, A. C. C., &amp; Scaramucci, T. (2022). Efficacy of a calcium</w:t>
      </w:r>
      <w:r w:rsidRPr="00B57098">
        <w:rPr>
          <w:rFonts w:ascii="Cambria Math" w:hAnsi="Cambria Math" w:cs="Cambria Math"/>
          <w:szCs w:val="28"/>
        </w:rPr>
        <w:t>‐</w:t>
      </w:r>
      <w:r w:rsidRPr="00B57098">
        <w:rPr>
          <w:rFonts w:asciiTheme="minorBidi" w:hAnsiTheme="minorBidi"/>
          <w:szCs w:val="28"/>
        </w:rPr>
        <w:t>phosphate/fluoride varnish and ionomeric sealant on cervical dentin hypersensitivity: A randomized, double</w:t>
      </w:r>
      <w:r w:rsidRPr="00B57098">
        <w:rPr>
          <w:rFonts w:ascii="Cambria Math" w:hAnsi="Cambria Math" w:cs="Cambria Math"/>
          <w:szCs w:val="28"/>
        </w:rPr>
        <w:t>‐</w:t>
      </w:r>
      <w:r w:rsidRPr="00B57098">
        <w:rPr>
          <w:rFonts w:asciiTheme="minorBidi" w:hAnsiTheme="minorBidi"/>
          <w:szCs w:val="28"/>
        </w:rPr>
        <w:t>blind, placebo</w:t>
      </w:r>
      <w:r w:rsidRPr="00B57098">
        <w:rPr>
          <w:rFonts w:ascii="Cambria Math" w:hAnsi="Cambria Math" w:cs="Cambria Math"/>
          <w:szCs w:val="28"/>
        </w:rPr>
        <w:t>‐</w:t>
      </w:r>
      <w:r w:rsidRPr="00B57098">
        <w:rPr>
          <w:rFonts w:asciiTheme="minorBidi" w:hAnsiTheme="minorBidi"/>
          <w:szCs w:val="28"/>
        </w:rPr>
        <w:t>controlled clinical study.</w:t>
      </w:r>
      <w:r w:rsidRPr="00B57098">
        <w:rPr>
          <w:rFonts w:cs="Arial"/>
          <w:szCs w:val="28"/>
        </w:rPr>
        <w:t> </w:t>
      </w:r>
      <w:r w:rsidRPr="00B57098">
        <w:rPr>
          <w:rFonts w:asciiTheme="minorBidi" w:hAnsiTheme="minorBidi"/>
          <w:i/>
          <w:iCs/>
          <w:szCs w:val="28"/>
        </w:rPr>
        <w:t>Journal of oral rehabilitation</w:t>
      </w:r>
      <w:r w:rsidRPr="00B57098">
        <w:rPr>
          <w:rFonts w:asciiTheme="minorBidi" w:hAnsiTheme="minorBidi"/>
          <w:szCs w:val="28"/>
        </w:rPr>
        <w:t>, </w:t>
      </w:r>
      <w:r w:rsidRPr="00B57098">
        <w:rPr>
          <w:rFonts w:asciiTheme="minorBidi" w:hAnsiTheme="minorBidi"/>
          <w:i/>
          <w:iCs/>
          <w:szCs w:val="28"/>
        </w:rPr>
        <w:t>49</w:t>
      </w:r>
      <w:r w:rsidRPr="00B57098">
        <w:rPr>
          <w:rFonts w:asciiTheme="minorBidi" w:hAnsiTheme="minorBidi"/>
          <w:szCs w:val="28"/>
        </w:rPr>
        <w:t>(1), 62-70.</w:t>
      </w:r>
      <w:r w:rsidRPr="00B57098">
        <w:rPr>
          <w:rFonts w:asciiTheme="minorBidi" w:hAnsiTheme="minorBidi"/>
          <w:szCs w:val="28"/>
          <w:rtl/>
        </w:rPr>
        <w:t>‏</w:t>
      </w:r>
    </w:p>
    <w:p w:rsidR="0059783A" w:rsidRPr="00B57098" w:rsidRDefault="0059783A" w:rsidP="00BE5828">
      <w:pPr>
        <w:ind w:left="720"/>
        <w:rPr>
          <w:rFonts w:asciiTheme="minorBidi" w:hAnsiTheme="minorBidi"/>
          <w:b/>
          <w:bCs/>
          <w:szCs w:val="28"/>
        </w:rPr>
      </w:pPr>
      <w:r w:rsidRPr="00B57098">
        <w:rPr>
          <w:rFonts w:asciiTheme="minorBidi" w:hAnsiTheme="minorBidi"/>
          <w:b/>
          <w:bCs/>
          <w:szCs w:val="28"/>
        </w:rPr>
        <w:t>N</w:t>
      </w:r>
    </w:p>
    <w:p w:rsidR="0059783A" w:rsidRPr="00B57098" w:rsidRDefault="0059783A" w:rsidP="00BE5828">
      <w:pPr>
        <w:pStyle w:val="ListParagraph"/>
        <w:numPr>
          <w:ilvl w:val="0"/>
          <w:numId w:val="18"/>
        </w:numPr>
        <w:rPr>
          <w:rFonts w:asciiTheme="minorBidi" w:hAnsiTheme="minorBidi"/>
          <w:szCs w:val="28"/>
        </w:rPr>
      </w:pPr>
      <w:r w:rsidRPr="00B57098">
        <w:rPr>
          <w:rFonts w:asciiTheme="minorBidi" w:hAnsiTheme="minorBidi"/>
          <w:szCs w:val="28"/>
        </w:rPr>
        <w:t>NANCI, Antonio. Dentin-pulp complex. Ten Cate's oral histology development, structure, and function, 2003, 192-239.</w:t>
      </w:r>
      <w:r w:rsidRPr="00B57098">
        <w:rPr>
          <w:rFonts w:asciiTheme="minorBidi" w:hAnsiTheme="minorBidi"/>
          <w:szCs w:val="28"/>
          <w:rtl/>
        </w:rPr>
        <w:t>‏</w:t>
      </w:r>
    </w:p>
    <w:p w:rsidR="001F4E82" w:rsidRPr="00B57098" w:rsidRDefault="001F4E82" w:rsidP="006D0300">
      <w:pPr>
        <w:pStyle w:val="ListParagraph"/>
        <w:numPr>
          <w:ilvl w:val="0"/>
          <w:numId w:val="18"/>
        </w:numPr>
        <w:rPr>
          <w:rFonts w:asciiTheme="minorBidi" w:hAnsiTheme="minorBidi"/>
          <w:szCs w:val="28"/>
        </w:rPr>
      </w:pPr>
      <w:r w:rsidRPr="00B57098">
        <w:rPr>
          <w:rFonts w:asciiTheme="minorBidi" w:hAnsiTheme="minorBidi"/>
          <w:szCs w:val="28"/>
        </w:rPr>
        <w:t>Neelakantan P, John S, Anand S, Sureshbabu N, Subbarao C. Fluoride release from a new glass-ionomer cement. OperDent. 2011</w:t>
      </w:r>
      <w:r w:rsidR="00B57098" w:rsidRPr="00B57098">
        <w:rPr>
          <w:rFonts w:asciiTheme="minorBidi" w:hAnsiTheme="minorBidi"/>
          <w:szCs w:val="28"/>
        </w:rPr>
        <w:t>; 36</w:t>
      </w:r>
      <w:r w:rsidRPr="00B57098">
        <w:rPr>
          <w:rFonts w:asciiTheme="minorBidi" w:hAnsiTheme="minorBidi"/>
          <w:szCs w:val="28"/>
        </w:rPr>
        <w:t>(1):80-5..</w:t>
      </w:r>
    </w:p>
    <w:p w:rsidR="001F4E82" w:rsidRPr="00B57098" w:rsidRDefault="001F4E82" w:rsidP="00BE5828">
      <w:pPr>
        <w:pStyle w:val="ListParagraph"/>
        <w:numPr>
          <w:ilvl w:val="0"/>
          <w:numId w:val="18"/>
        </w:numPr>
        <w:rPr>
          <w:rFonts w:asciiTheme="minorBidi" w:hAnsiTheme="minorBidi"/>
          <w:szCs w:val="28"/>
        </w:rPr>
      </w:pPr>
      <w:r w:rsidRPr="00B57098">
        <w:rPr>
          <w:rFonts w:asciiTheme="minorBidi" w:hAnsiTheme="minorBidi"/>
          <w:szCs w:val="28"/>
        </w:rPr>
        <w:t>Naorungroj S, Wei HH, Arnold R, Swift EJ Jr, Walter R. Antibacterial surface properties of fluoride-containing resin-based sealants. J Dent. 2010</w:t>
      </w:r>
      <w:r w:rsidR="00B57098" w:rsidRPr="00B57098">
        <w:rPr>
          <w:rFonts w:asciiTheme="minorBidi" w:hAnsiTheme="minorBidi"/>
          <w:szCs w:val="28"/>
        </w:rPr>
        <w:t>; 38</w:t>
      </w:r>
      <w:r w:rsidRPr="00B57098">
        <w:rPr>
          <w:rFonts w:asciiTheme="minorBidi" w:hAnsiTheme="minorBidi"/>
          <w:szCs w:val="28"/>
        </w:rPr>
        <w:t>(5):387-91.</w:t>
      </w:r>
    </w:p>
    <w:p w:rsidR="00DC10B1" w:rsidRPr="00B57098" w:rsidRDefault="00DC10B1" w:rsidP="00BE5828">
      <w:pPr>
        <w:pStyle w:val="ListParagraph"/>
        <w:numPr>
          <w:ilvl w:val="0"/>
          <w:numId w:val="18"/>
        </w:numPr>
        <w:rPr>
          <w:rFonts w:asciiTheme="minorBidi" w:hAnsiTheme="minorBidi"/>
          <w:szCs w:val="28"/>
        </w:rPr>
      </w:pPr>
      <w:r w:rsidRPr="00B57098">
        <w:rPr>
          <w:rFonts w:asciiTheme="minorBidi" w:hAnsiTheme="minorBidi"/>
          <w:szCs w:val="28"/>
        </w:rPr>
        <w:t>Neelaka</w:t>
      </w:r>
      <w:r w:rsidR="0012659A" w:rsidRPr="00B57098">
        <w:rPr>
          <w:rFonts w:asciiTheme="minorBidi" w:hAnsiTheme="minorBidi"/>
          <w:szCs w:val="28"/>
        </w:rPr>
        <w:t>ntan P, John S, Anand S, Suresh</w:t>
      </w:r>
      <w:r w:rsidRPr="00B57098">
        <w:rPr>
          <w:rFonts w:asciiTheme="minorBidi" w:hAnsiTheme="minorBidi"/>
          <w:szCs w:val="28"/>
        </w:rPr>
        <w:t xml:space="preserve">babu N, Subbarao C. Fluoride </w:t>
      </w:r>
      <w:r w:rsidR="00B57098" w:rsidRPr="00B57098">
        <w:rPr>
          <w:rFonts w:asciiTheme="minorBidi" w:hAnsiTheme="minorBidi"/>
          <w:szCs w:val="28"/>
        </w:rPr>
        <w:t>release from</w:t>
      </w:r>
      <w:r w:rsidRPr="00B57098">
        <w:rPr>
          <w:rFonts w:asciiTheme="minorBidi" w:hAnsiTheme="minorBidi"/>
          <w:szCs w:val="28"/>
        </w:rPr>
        <w:t xml:space="preserve"> a new glass-ionomer cement. Oper Dent. 2011</w:t>
      </w:r>
      <w:r w:rsidR="00B57098" w:rsidRPr="00B57098">
        <w:rPr>
          <w:rFonts w:asciiTheme="minorBidi" w:hAnsiTheme="minorBidi"/>
          <w:szCs w:val="28"/>
        </w:rPr>
        <w:t>; 36</w:t>
      </w:r>
      <w:r w:rsidRPr="00B57098">
        <w:rPr>
          <w:rFonts w:asciiTheme="minorBidi" w:hAnsiTheme="minorBidi"/>
          <w:szCs w:val="28"/>
        </w:rPr>
        <w:t>(1):80-5</w:t>
      </w:r>
      <w:r w:rsidR="0012659A" w:rsidRPr="00B57098">
        <w:rPr>
          <w:rFonts w:asciiTheme="minorBidi" w:hAnsiTheme="minorBidi"/>
          <w:szCs w:val="28"/>
        </w:rPr>
        <w:t>.</w:t>
      </w:r>
    </w:p>
    <w:p w:rsidR="00253AE7" w:rsidRPr="00B57098" w:rsidRDefault="00253AE7" w:rsidP="00BE5828">
      <w:pPr>
        <w:rPr>
          <w:rFonts w:asciiTheme="minorBidi" w:hAnsiTheme="minorBidi"/>
          <w:b/>
          <w:bCs/>
          <w:szCs w:val="28"/>
        </w:rPr>
      </w:pPr>
      <w:r w:rsidRPr="00B57098">
        <w:rPr>
          <w:rFonts w:asciiTheme="minorBidi" w:hAnsiTheme="minorBidi"/>
          <w:b/>
          <w:bCs/>
          <w:szCs w:val="28"/>
        </w:rPr>
        <w:t xml:space="preserve">        O</w:t>
      </w:r>
    </w:p>
    <w:p w:rsidR="00253AE7" w:rsidRPr="00B57098" w:rsidRDefault="00253AE7" w:rsidP="00BE5828">
      <w:pPr>
        <w:pStyle w:val="ListParagraph"/>
        <w:numPr>
          <w:ilvl w:val="0"/>
          <w:numId w:val="18"/>
        </w:numPr>
        <w:rPr>
          <w:rFonts w:asciiTheme="minorBidi" w:hAnsiTheme="minorBidi"/>
          <w:szCs w:val="28"/>
        </w:rPr>
      </w:pPr>
      <w:r w:rsidRPr="00B57098">
        <w:rPr>
          <w:rFonts w:asciiTheme="minorBidi" w:hAnsiTheme="minorBidi"/>
          <w:szCs w:val="28"/>
        </w:rPr>
        <w:t>Orchardson, Robin, and David G. Gillam. "Managing dentin hypersensitivity." </w:t>
      </w:r>
      <w:r w:rsidRPr="00B57098">
        <w:rPr>
          <w:rFonts w:asciiTheme="minorBidi" w:hAnsiTheme="minorBidi"/>
          <w:i/>
          <w:iCs/>
          <w:szCs w:val="28"/>
        </w:rPr>
        <w:t>The Journal of the American Dental Association</w:t>
      </w:r>
      <w:r w:rsidRPr="00B57098">
        <w:rPr>
          <w:rFonts w:asciiTheme="minorBidi" w:hAnsiTheme="minorBidi"/>
          <w:szCs w:val="28"/>
        </w:rPr>
        <w:t> 137.7 (2006): 990-998.</w:t>
      </w:r>
      <w:r w:rsidRPr="00B57098">
        <w:rPr>
          <w:rFonts w:asciiTheme="minorBidi" w:hAnsiTheme="minorBidi"/>
          <w:szCs w:val="28"/>
          <w:rtl/>
        </w:rPr>
        <w:t>‏</w:t>
      </w:r>
      <w:r w:rsidRPr="00B57098">
        <w:rPr>
          <w:rFonts w:asciiTheme="minorBidi" w:hAnsiTheme="minorBidi"/>
          <w:szCs w:val="28"/>
        </w:rPr>
        <w:t>\</w:t>
      </w:r>
    </w:p>
    <w:p w:rsidR="0042350A" w:rsidRPr="00B57098" w:rsidRDefault="0042350A" w:rsidP="00BE5828">
      <w:pPr>
        <w:pStyle w:val="ListParagraph"/>
        <w:numPr>
          <w:ilvl w:val="0"/>
          <w:numId w:val="18"/>
        </w:numPr>
        <w:rPr>
          <w:rFonts w:asciiTheme="minorBidi" w:hAnsiTheme="minorBidi"/>
          <w:szCs w:val="28"/>
        </w:rPr>
      </w:pPr>
      <w:r w:rsidRPr="00B57098">
        <w:rPr>
          <w:rFonts w:asciiTheme="minorBidi" w:hAnsiTheme="minorBidi"/>
          <w:szCs w:val="28"/>
        </w:rPr>
        <w:t>Orsini, G., Ruggeri Jr, A., Mazzoni, A., Nato, F., Manzoli, L., Putignano, A. &amp; Breschi, L. (2009). A review of the nature, role, and function of dentin non</w:t>
      </w:r>
      <w:r w:rsidRPr="00B57098">
        <w:rPr>
          <w:rFonts w:ascii="Cambria Math" w:hAnsi="Cambria Math" w:cs="Cambria Math"/>
          <w:szCs w:val="28"/>
        </w:rPr>
        <w:t>‐</w:t>
      </w:r>
      <w:r w:rsidRPr="00B57098">
        <w:rPr>
          <w:rFonts w:asciiTheme="minorBidi" w:hAnsiTheme="minorBidi"/>
          <w:szCs w:val="28"/>
        </w:rPr>
        <w:t>collagenous proteins. Part 1: proteoglycans and glycoproteins. </w:t>
      </w:r>
      <w:r w:rsidRPr="00B57098">
        <w:rPr>
          <w:rFonts w:asciiTheme="minorBidi" w:hAnsiTheme="minorBidi"/>
          <w:i/>
          <w:iCs/>
          <w:szCs w:val="28"/>
        </w:rPr>
        <w:t>Endodontic Topics</w:t>
      </w:r>
      <w:r w:rsidRPr="00B57098">
        <w:rPr>
          <w:rFonts w:asciiTheme="minorBidi" w:hAnsiTheme="minorBidi"/>
          <w:szCs w:val="28"/>
        </w:rPr>
        <w:t>, </w:t>
      </w:r>
      <w:r w:rsidRPr="00B57098">
        <w:rPr>
          <w:rFonts w:asciiTheme="minorBidi" w:hAnsiTheme="minorBidi"/>
          <w:i/>
          <w:iCs/>
          <w:szCs w:val="28"/>
        </w:rPr>
        <w:t>21</w:t>
      </w:r>
      <w:r w:rsidRPr="00B57098">
        <w:rPr>
          <w:rFonts w:asciiTheme="minorBidi" w:hAnsiTheme="minorBidi"/>
          <w:szCs w:val="28"/>
        </w:rPr>
        <w:t>(1), 1-18.</w:t>
      </w:r>
      <w:r w:rsidRPr="00B57098">
        <w:rPr>
          <w:rFonts w:asciiTheme="minorBidi" w:hAnsiTheme="minorBidi"/>
          <w:szCs w:val="28"/>
          <w:rtl/>
        </w:rPr>
        <w:t>‏</w:t>
      </w:r>
    </w:p>
    <w:p w:rsidR="0082693E" w:rsidRPr="00B57098" w:rsidRDefault="0082693E" w:rsidP="00BE5828">
      <w:pPr>
        <w:pStyle w:val="ListParagraph"/>
        <w:numPr>
          <w:ilvl w:val="0"/>
          <w:numId w:val="18"/>
        </w:numPr>
        <w:rPr>
          <w:rFonts w:asciiTheme="minorBidi" w:hAnsiTheme="minorBidi"/>
          <w:szCs w:val="28"/>
        </w:rPr>
      </w:pPr>
      <w:r w:rsidRPr="00B57098">
        <w:rPr>
          <w:rFonts w:asciiTheme="minorBidi" w:hAnsiTheme="minorBidi"/>
          <w:szCs w:val="28"/>
        </w:rPr>
        <w:t>Orchardson, R., &amp; Gillam, D. G. (2006). Managing dentin hypersensitivity. </w:t>
      </w:r>
      <w:r w:rsidRPr="00B57098">
        <w:rPr>
          <w:rFonts w:asciiTheme="minorBidi" w:hAnsiTheme="minorBidi"/>
          <w:i/>
          <w:iCs/>
          <w:szCs w:val="28"/>
        </w:rPr>
        <w:t>The Journal of the American Dental Association</w:t>
      </w:r>
      <w:r w:rsidRPr="00B57098">
        <w:rPr>
          <w:rFonts w:asciiTheme="minorBidi" w:hAnsiTheme="minorBidi"/>
          <w:szCs w:val="28"/>
        </w:rPr>
        <w:t>, </w:t>
      </w:r>
      <w:r w:rsidRPr="00B57098">
        <w:rPr>
          <w:rFonts w:asciiTheme="minorBidi" w:hAnsiTheme="minorBidi"/>
          <w:i/>
          <w:iCs/>
          <w:szCs w:val="28"/>
        </w:rPr>
        <w:t>137</w:t>
      </w:r>
      <w:r w:rsidRPr="00B57098">
        <w:rPr>
          <w:rFonts w:asciiTheme="minorBidi" w:hAnsiTheme="minorBidi"/>
          <w:szCs w:val="28"/>
        </w:rPr>
        <w:t>(7), 990-998.</w:t>
      </w:r>
      <w:r w:rsidRPr="00B57098">
        <w:rPr>
          <w:rFonts w:asciiTheme="minorBidi" w:hAnsiTheme="minorBidi"/>
          <w:szCs w:val="28"/>
          <w:rtl/>
        </w:rPr>
        <w:t>‏</w:t>
      </w:r>
    </w:p>
    <w:p w:rsidR="001F4E82" w:rsidRPr="00B57098" w:rsidRDefault="001F4E82" w:rsidP="00BE5828">
      <w:pPr>
        <w:pStyle w:val="ListParagraph"/>
        <w:numPr>
          <w:ilvl w:val="0"/>
          <w:numId w:val="18"/>
        </w:numPr>
        <w:rPr>
          <w:rFonts w:asciiTheme="minorBidi" w:hAnsiTheme="minorBidi"/>
          <w:szCs w:val="28"/>
        </w:rPr>
      </w:pPr>
      <w:r w:rsidRPr="00B57098">
        <w:rPr>
          <w:rFonts w:asciiTheme="minorBidi" w:hAnsiTheme="minorBidi"/>
          <w:szCs w:val="28"/>
        </w:rPr>
        <w:t>Ozgünaltay G, Onen A. Three-year clinical evaluation of a resin modified glass-ionomer cement and a composite resin in non-carious class V lesions. J Oral Rehabil.2002</w:t>
      </w:r>
      <w:r w:rsidR="00B57098" w:rsidRPr="00B57098">
        <w:rPr>
          <w:rFonts w:asciiTheme="minorBidi" w:hAnsiTheme="minorBidi"/>
          <w:szCs w:val="28"/>
        </w:rPr>
        <w:t>; 29</w:t>
      </w:r>
      <w:r w:rsidRPr="00B57098">
        <w:rPr>
          <w:rFonts w:asciiTheme="minorBidi" w:hAnsiTheme="minorBidi"/>
          <w:szCs w:val="28"/>
        </w:rPr>
        <w:t>(11):1037-41.</w:t>
      </w:r>
    </w:p>
    <w:p w:rsidR="000E7192" w:rsidRPr="00B57098" w:rsidRDefault="000E7192" w:rsidP="00BE5828">
      <w:pPr>
        <w:rPr>
          <w:rFonts w:asciiTheme="minorBidi" w:hAnsiTheme="minorBidi"/>
          <w:b/>
          <w:bCs/>
          <w:szCs w:val="28"/>
        </w:rPr>
      </w:pPr>
      <w:r w:rsidRPr="00B57098">
        <w:rPr>
          <w:rFonts w:asciiTheme="minorBidi" w:hAnsiTheme="minorBidi"/>
          <w:b/>
          <w:bCs/>
          <w:szCs w:val="28"/>
        </w:rPr>
        <w:t xml:space="preserve">     </w:t>
      </w:r>
      <w:r w:rsidR="00E74588" w:rsidRPr="00B57098">
        <w:rPr>
          <w:rFonts w:asciiTheme="minorBidi" w:hAnsiTheme="minorBidi"/>
          <w:b/>
          <w:bCs/>
          <w:szCs w:val="28"/>
        </w:rPr>
        <w:t xml:space="preserve"> </w:t>
      </w:r>
      <w:r w:rsidRPr="00B57098">
        <w:rPr>
          <w:rFonts w:asciiTheme="minorBidi" w:hAnsiTheme="minorBidi"/>
          <w:b/>
          <w:bCs/>
          <w:szCs w:val="28"/>
        </w:rPr>
        <w:t xml:space="preserve">   P</w:t>
      </w:r>
    </w:p>
    <w:p w:rsidR="000E7192" w:rsidRPr="00B57098" w:rsidRDefault="000E7192" w:rsidP="00BE5828">
      <w:pPr>
        <w:pStyle w:val="ListParagraph"/>
        <w:numPr>
          <w:ilvl w:val="0"/>
          <w:numId w:val="23"/>
        </w:numPr>
        <w:rPr>
          <w:rFonts w:asciiTheme="minorBidi" w:hAnsiTheme="minorBidi"/>
          <w:szCs w:val="28"/>
        </w:rPr>
      </w:pPr>
      <w:r w:rsidRPr="00B57098">
        <w:rPr>
          <w:rFonts w:asciiTheme="minorBidi" w:hAnsiTheme="minorBidi"/>
          <w:szCs w:val="28"/>
        </w:rPr>
        <w:t>Peumans, Marleen, Gianfranco Politano, and Bart Van Meerbeek. "Treatment of noncarious cervical lesions: when, why, and how." </w:t>
      </w:r>
      <w:r w:rsidRPr="00B57098">
        <w:rPr>
          <w:rFonts w:asciiTheme="minorBidi" w:hAnsiTheme="minorBidi"/>
          <w:i/>
          <w:iCs/>
          <w:szCs w:val="28"/>
        </w:rPr>
        <w:t>The international journal of esthetic dentistry</w:t>
      </w:r>
      <w:r w:rsidRPr="00B57098">
        <w:rPr>
          <w:rFonts w:asciiTheme="minorBidi" w:hAnsiTheme="minorBidi"/>
          <w:szCs w:val="28"/>
        </w:rPr>
        <w:t> 15.1 (2020): 16-42.</w:t>
      </w:r>
      <w:r w:rsidRPr="00B57098">
        <w:rPr>
          <w:rFonts w:asciiTheme="minorBidi" w:hAnsiTheme="minorBidi"/>
          <w:szCs w:val="28"/>
          <w:rtl/>
        </w:rPr>
        <w:t>‏</w:t>
      </w:r>
    </w:p>
    <w:p w:rsidR="00C91D44" w:rsidRPr="00B57098" w:rsidRDefault="00C91D44" w:rsidP="00BE5828">
      <w:pPr>
        <w:pStyle w:val="ListParagraph"/>
        <w:numPr>
          <w:ilvl w:val="0"/>
          <w:numId w:val="23"/>
        </w:numPr>
        <w:rPr>
          <w:rFonts w:asciiTheme="minorBidi" w:hAnsiTheme="minorBidi"/>
          <w:szCs w:val="28"/>
        </w:rPr>
      </w:pPr>
      <w:r w:rsidRPr="00B57098">
        <w:rPr>
          <w:rFonts w:asciiTheme="minorBidi" w:hAnsiTheme="minorBidi"/>
          <w:szCs w:val="28"/>
        </w:rPr>
        <w:t>Poulsen, S., Errboe, M., Mevil, Y. L., &amp; Glenny, A. M. (2006). Potassium containing toothpastes for dentine hypersensitivity. </w:t>
      </w:r>
      <w:r w:rsidRPr="00B57098">
        <w:rPr>
          <w:rFonts w:asciiTheme="minorBidi" w:hAnsiTheme="minorBidi"/>
          <w:i/>
          <w:iCs/>
          <w:szCs w:val="28"/>
        </w:rPr>
        <w:t>Cochrane Database of Systematic Reviews</w:t>
      </w:r>
      <w:r w:rsidRPr="00B57098">
        <w:rPr>
          <w:rFonts w:asciiTheme="minorBidi" w:hAnsiTheme="minorBidi"/>
          <w:szCs w:val="28"/>
        </w:rPr>
        <w:t>, (3).</w:t>
      </w:r>
      <w:r w:rsidRPr="00B57098">
        <w:rPr>
          <w:rFonts w:asciiTheme="minorBidi" w:hAnsiTheme="minorBidi"/>
          <w:szCs w:val="28"/>
          <w:rtl/>
        </w:rPr>
        <w:t>‏</w:t>
      </w:r>
    </w:p>
    <w:p w:rsidR="00B27B98" w:rsidRPr="00B57098" w:rsidRDefault="00B27B98" w:rsidP="00BE5828">
      <w:pPr>
        <w:pStyle w:val="ListParagraph"/>
        <w:numPr>
          <w:ilvl w:val="0"/>
          <w:numId w:val="23"/>
        </w:numPr>
        <w:rPr>
          <w:rFonts w:asciiTheme="minorBidi" w:hAnsiTheme="minorBidi"/>
          <w:szCs w:val="28"/>
        </w:rPr>
      </w:pPr>
      <w:r w:rsidRPr="00B57098">
        <w:rPr>
          <w:rFonts w:asciiTheme="minorBidi" w:hAnsiTheme="minorBidi"/>
          <w:szCs w:val="28"/>
        </w:rPr>
        <w:t>Pereira, J. C., Segala, A. D., &amp; Gillam, D. G. (2005). Effect of desensitizing agents on the hydraulic conductance of human dentin subjected to different surface pre-treatments-an in vitro study. </w:t>
      </w:r>
      <w:r w:rsidRPr="00B57098">
        <w:rPr>
          <w:rFonts w:asciiTheme="minorBidi" w:hAnsiTheme="minorBidi"/>
          <w:i/>
          <w:iCs/>
          <w:szCs w:val="28"/>
        </w:rPr>
        <w:t>Dental Materials</w:t>
      </w:r>
      <w:r w:rsidRPr="00B57098">
        <w:rPr>
          <w:rFonts w:asciiTheme="minorBidi" w:hAnsiTheme="minorBidi"/>
          <w:szCs w:val="28"/>
        </w:rPr>
        <w:t>, </w:t>
      </w:r>
      <w:r w:rsidRPr="00B57098">
        <w:rPr>
          <w:rFonts w:asciiTheme="minorBidi" w:hAnsiTheme="minorBidi"/>
          <w:i/>
          <w:iCs/>
          <w:szCs w:val="28"/>
        </w:rPr>
        <w:t>21</w:t>
      </w:r>
      <w:r w:rsidRPr="00B57098">
        <w:rPr>
          <w:rFonts w:asciiTheme="minorBidi" w:hAnsiTheme="minorBidi"/>
          <w:szCs w:val="28"/>
        </w:rPr>
        <w:t>(2), 129-138.</w:t>
      </w:r>
      <w:r w:rsidRPr="00B57098">
        <w:rPr>
          <w:rFonts w:asciiTheme="minorBidi" w:hAnsiTheme="minorBidi"/>
          <w:szCs w:val="28"/>
          <w:rtl/>
        </w:rPr>
        <w:t>‏</w:t>
      </w:r>
    </w:p>
    <w:p w:rsidR="00B27B98" w:rsidRPr="00B57098" w:rsidRDefault="00B27B98" w:rsidP="00BE5828">
      <w:pPr>
        <w:pStyle w:val="ListParagraph"/>
        <w:numPr>
          <w:ilvl w:val="0"/>
          <w:numId w:val="23"/>
        </w:numPr>
        <w:rPr>
          <w:rFonts w:asciiTheme="minorBidi" w:hAnsiTheme="minorBidi"/>
          <w:szCs w:val="28"/>
        </w:rPr>
      </w:pPr>
      <w:r w:rsidRPr="00B57098">
        <w:rPr>
          <w:rFonts w:asciiTheme="minorBidi" w:hAnsiTheme="minorBidi"/>
          <w:szCs w:val="28"/>
        </w:rPr>
        <w:t>Pashley, D. H., &amp; Galloway, S. E. (1985). The effects of oxalate treatment on the smear layer of ground surfaces of human dentine. </w:t>
      </w:r>
      <w:r w:rsidRPr="00B57098">
        <w:rPr>
          <w:rFonts w:asciiTheme="minorBidi" w:hAnsiTheme="minorBidi"/>
          <w:i/>
          <w:iCs/>
          <w:szCs w:val="28"/>
        </w:rPr>
        <w:t>Archives of Oral Biology</w:t>
      </w:r>
      <w:r w:rsidRPr="00B57098">
        <w:rPr>
          <w:rFonts w:asciiTheme="minorBidi" w:hAnsiTheme="minorBidi"/>
          <w:szCs w:val="28"/>
        </w:rPr>
        <w:t>, </w:t>
      </w:r>
      <w:r w:rsidRPr="00B57098">
        <w:rPr>
          <w:rFonts w:asciiTheme="minorBidi" w:hAnsiTheme="minorBidi"/>
          <w:i/>
          <w:iCs/>
          <w:szCs w:val="28"/>
        </w:rPr>
        <w:t>30</w:t>
      </w:r>
      <w:r w:rsidRPr="00B57098">
        <w:rPr>
          <w:rFonts w:asciiTheme="minorBidi" w:hAnsiTheme="minorBidi"/>
          <w:szCs w:val="28"/>
        </w:rPr>
        <w:t>(10), 731-737.</w:t>
      </w:r>
      <w:r w:rsidRPr="00B57098">
        <w:rPr>
          <w:rFonts w:asciiTheme="minorBidi" w:hAnsiTheme="minorBidi"/>
          <w:szCs w:val="28"/>
          <w:rtl/>
        </w:rPr>
        <w:t>‏</w:t>
      </w:r>
    </w:p>
    <w:p w:rsidR="00070D5D" w:rsidRPr="00B57098" w:rsidRDefault="00070D5D" w:rsidP="00070D5D">
      <w:pPr>
        <w:pStyle w:val="ListParagraph"/>
        <w:numPr>
          <w:ilvl w:val="0"/>
          <w:numId w:val="23"/>
        </w:numPr>
        <w:jc w:val="left"/>
        <w:rPr>
          <w:rFonts w:asciiTheme="minorBidi" w:hAnsiTheme="minorBidi"/>
          <w:szCs w:val="28"/>
        </w:rPr>
      </w:pPr>
      <w:r w:rsidRPr="00B57098">
        <w:rPr>
          <w:rFonts w:asciiTheme="minorBidi" w:hAnsiTheme="minorBidi"/>
          <w:szCs w:val="28"/>
        </w:rPr>
        <w:t>Panagakos, F., Schiff, T., &amp; Guignon, A. (2009). Dentin hypersensitivity: effective treatment with an in-office desensitizing paste containing 8% arginine and calcium carbonate. </w:t>
      </w:r>
      <w:r w:rsidRPr="00B57098">
        <w:rPr>
          <w:rFonts w:asciiTheme="minorBidi" w:hAnsiTheme="minorBidi"/>
          <w:i/>
          <w:iCs/>
          <w:szCs w:val="28"/>
        </w:rPr>
        <w:t>American journal of dentistry</w:t>
      </w:r>
      <w:r w:rsidRPr="00B57098">
        <w:rPr>
          <w:rFonts w:asciiTheme="minorBidi" w:hAnsiTheme="minorBidi"/>
          <w:szCs w:val="28"/>
        </w:rPr>
        <w:t>, </w:t>
      </w:r>
      <w:r w:rsidRPr="00B57098">
        <w:rPr>
          <w:rFonts w:asciiTheme="minorBidi" w:hAnsiTheme="minorBidi"/>
          <w:i/>
          <w:iCs/>
          <w:szCs w:val="28"/>
        </w:rPr>
        <w:t>22</w:t>
      </w:r>
      <w:r w:rsidRPr="00B57098">
        <w:rPr>
          <w:rFonts w:asciiTheme="minorBidi" w:hAnsiTheme="minorBidi"/>
          <w:szCs w:val="28"/>
        </w:rPr>
        <w:t>, 3A-7A.</w:t>
      </w:r>
      <w:r w:rsidRPr="00B57098">
        <w:rPr>
          <w:rFonts w:asciiTheme="minorBidi" w:hAnsiTheme="minorBidi"/>
          <w:szCs w:val="28"/>
          <w:rtl/>
        </w:rPr>
        <w:t>‏</w:t>
      </w:r>
    </w:p>
    <w:p w:rsidR="000B782F" w:rsidRPr="00B57098" w:rsidRDefault="000B782F" w:rsidP="000B782F">
      <w:pPr>
        <w:pStyle w:val="ListParagraph"/>
        <w:numPr>
          <w:ilvl w:val="0"/>
          <w:numId w:val="23"/>
        </w:numPr>
        <w:jc w:val="left"/>
        <w:rPr>
          <w:rFonts w:asciiTheme="minorBidi" w:hAnsiTheme="minorBidi"/>
          <w:szCs w:val="28"/>
        </w:rPr>
      </w:pPr>
      <w:r w:rsidRPr="00B57098">
        <w:rPr>
          <w:rFonts w:asciiTheme="minorBidi" w:hAnsiTheme="minorBidi"/>
          <w:szCs w:val="28"/>
        </w:rPr>
        <w:t>Patil, A. R., Varma, S., Suragimath, G., Abbayya, K., Zope, S. A., &amp; Kale, V. (2017). Comparative evaluation of efficacy of iontophoresis with 0.33% sodium fluoride gel and diode laser alone on occlusion of dentinal tubules. </w:t>
      </w:r>
      <w:r w:rsidRPr="00B57098">
        <w:rPr>
          <w:rFonts w:asciiTheme="minorBidi" w:hAnsiTheme="minorBidi"/>
          <w:i/>
          <w:iCs/>
          <w:szCs w:val="28"/>
        </w:rPr>
        <w:t>Journal of clinical and diagnostic research: JCDR</w:t>
      </w:r>
      <w:r w:rsidRPr="00B57098">
        <w:rPr>
          <w:rFonts w:asciiTheme="minorBidi" w:hAnsiTheme="minorBidi"/>
          <w:szCs w:val="28"/>
        </w:rPr>
        <w:t>, </w:t>
      </w:r>
      <w:r w:rsidRPr="00B57098">
        <w:rPr>
          <w:rFonts w:asciiTheme="minorBidi" w:hAnsiTheme="minorBidi"/>
          <w:i/>
          <w:iCs/>
          <w:szCs w:val="28"/>
        </w:rPr>
        <w:t>11</w:t>
      </w:r>
      <w:r w:rsidRPr="00B57098">
        <w:rPr>
          <w:rFonts w:asciiTheme="minorBidi" w:hAnsiTheme="minorBidi"/>
          <w:szCs w:val="28"/>
        </w:rPr>
        <w:t>(8), ZC123.</w:t>
      </w:r>
      <w:r w:rsidRPr="00B57098">
        <w:rPr>
          <w:rFonts w:asciiTheme="minorBidi" w:hAnsiTheme="minorBidi"/>
          <w:szCs w:val="28"/>
          <w:rtl/>
        </w:rPr>
        <w:t>‏</w:t>
      </w:r>
    </w:p>
    <w:p w:rsidR="0059783A" w:rsidRPr="00B57098" w:rsidRDefault="0059783A" w:rsidP="006D0300">
      <w:pPr>
        <w:ind w:left="720"/>
        <w:jc w:val="left"/>
        <w:rPr>
          <w:rFonts w:asciiTheme="minorBidi" w:hAnsiTheme="minorBidi"/>
          <w:b/>
          <w:bCs/>
          <w:szCs w:val="28"/>
        </w:rPr>
      </w:pPr>
      <w:r w:rsidRPr="00B57098">
        <w:rPr>
          <w:rFonts w:asciiTheme="minorBidi" w:hAnsiTheme="minorBidi"/>
          <w:b/>
          <w:bCs/>
          <w:szCs w:val="28"/>
        </w:rPr>
        <w:t>R</w:t>
      </w:r>
    </w:p>
    <w:p w:rsidR="0059783A" w:rsidRPr="00B57098" w:rsidRDefault="0059783A" w:rsidP="0059783A">
      <w:pPr>
        <w:pStyle w:val="ListParagraph"/>
        <w:numPr>
          <w:ilvl w:val="0"/>
          <w:numId w:val="18"/>
        </w:numPr>
        <w:spacing w:after="160"/>
        <w:rPr>
          <w:rFonts w:asciiTheme="minorBidi" w:hAnsiTheme="minorBidi"/>
          <w:szCs w:val="28"/>
        </w:rPr>
      </w:pPr>
      <w:r w:rsidRPr="00B57098">
        <w:rPr>
          <w:rFonts w:asciiTheme="minorBidi" w:hAnsiTheme="minorBidi"/>
          <w:szCs w:val="28"/>
        </w:rPr>
        <w:t>Rees, J.S. and M. Addy, A cross-sectional study of buccal cervical sensitivity in UK general dental practice and a summary review of prevalence studies. Int J Dent Hyg, 2004. 2(2): p. 64-9.</w:t>
      </w:r>
    </w:p>
    <w:p w:rsidR="00637304" w:rsidRPr="00B57098" w:rsidRDefault="00637304" w:rsidP="00637304">
      <w:pPr>
        <w:pStyle w:val="ListParagraph"/>
        <w:numPr>
          <w:ilvl w:val="0"/>
          <w:numId w:val="18"/>
        </w:numPr>
        <w:spacing w:after="160"/>
        <w:rPr>
          <w:rFonts w:asciiTheme="minorBidi" w:hAnsiTheme="minorBidi"/>
          <w:szCs w:val="28"/>
        </w:rPr>
      </w:pPr>
      <w:r w:rsidRPr="00B57098">
        <w:rPr>
          <w:rFonts w:asciiTheme="minorBidi" w:hAnsiTheme="minorBidi"/>
          <w:szCs w:val="28"/>
        </w:rPr>
        <w:t>Rimondini, L., Baroni, C., &amp; Carrassi, A. (1995). Ultrastructure of hypersensitive and non</w:t>
      </w:r>
      <w:r w:rsidRPr="00B57098">
        <w:rPr>
          <w:rFonts w:ascii="Cambria Math" w:hAnsi="Cambria Math" w:cs="Cambria Math"/>
          <w:szCs w:val="28"/>
        </w:rPr>
        <w:t>‐</w:t>
      </w:r>
      <w:r w:rsidRPr="00B57098">
        <w:rPr>
          <w:rFonts w:asciiTheme="minorBidi" w:hAnsiTheme="minorBidi"/>
          <w:szCs w:val="28"/>
        </w:rPr>
        <w:t>sensitive dentine: A study on replica models.</w:t>
      </w:r>
      <w:r w:rsidRPr="00B57098">
        <w:rPr>
          <w:rFonts w:cs="Arial"/>
          <w:szCs w:val="28"/>
        </w:rPr>
        <w:t> </w:t>
      </w:r>
      <w:r w:rsidRPr="00B57098">
        <w:rPr>
          <w:rFonts w:asciiTheme="minorBidi" w:hAnsiTheme="minorBidi"/>
          <w:i/>
          <w:iCs/>
          <w:szCs w:val="28"/>
        </w:rPr>
        <w:t>Journal of clinical periodontology</w:t>
      </w:r>
      <w:r w:rsidRPr="00B57098">
        <w:rPr>
          <w:rFonts w:asciiTheme="minorBidi" w:hAnsiTheme="minorBidi"/>
          <w:szCs w:val="28"/>
        </w:rPr>
        <w:t>, </w:t>
      </w:r>
      <w:r w:rsidRPr="00B57098">
        <w:rPr>
          <w:rFonts w:asciiTheme="minorBidi" w:hAnsiTheme="minorBidi"/>
          <w:i/>
          <w:iCs/>
          <w:szCs w:val="28"/>
        </w:rPr>
        <w:t>22</w:t>
      </w:r>
      <w:r w:rsidRPr="00B57098">
        <w:rPr>
          <w:rFonts w:asciiTheme="minorBidi" w:hAnsiTheme="minorBidi"/>
          <w:szCs w:val="28"/>
        </w:rPr>
        <w:t>(12), 899-902.</w:t>
      </w:r>
      <w:r w:rsidRPr="00B57098">
        <w:rPr>
          <w:rFonts w:asciiTheme="minorBidi" w:hAnsiTheme="minorBidi"/>
          <w:szCs w:val="28"/>
          <w:rtl/>
        </w:rPr>
        <w:t>‏</w:t>
      </w:r>
    </w:p>
    <w:p w:rsidR="00520D9E" w:rsidRPr="00B57098" w:rsidRDefault="00520D9E" w:rsidP="001F4E82">
      <w:pPr>
        <w:pStyle w:val="ListParagraph"/>
        <w:numPr>
          <w:ilvl w:val="0"/>
          <w:numId w:val="18"/>
        </w:numPr>
        <w:spacing w:after="160"/>
        <w:rPr>
          <w:rFonts w:asciiTheme="minorBidi" w:hAnsiTheme="minorBidi"/>
          <w:szCs w:val="28"/>
        </w:rPr>
      </w:pPr>
      <w:r w:rsidRPr="00B57098">
        <w:rPr>
          <w:rFonts w:asciiTheme="minorBidi" w:hAnsiTheme="minorBidi"/>
          <w:szCs w:val="28"/>
        </w:rPr>
        <w:t>Rosa WLO, Lund RG, Piva E, Silva AF.The effect</w:t>
      </w:r>
      <w:r w:rsidR="001F4E82" w:rsidRPr="00B57098">
        <w:rPr>
          <w:rFonts w:asciiTheme="minorBidi" w:hAnsiTheme="minorBidi"/>
          <w:szCs w:val="28"/>
        </w:rPr>
        <w:t>iveness of current dentin desen</w:t>
      </w:r>
      <w:r w:rsidRPr="00B57098">
        <w:rPr>
          <w:rFonts w:asciiTheme="minorBidi" w:hAnsiTheme="minorBidi"/>
          <w:szCs w:val="28"/>
        </w:rPr>
        <w:t>sitizing agents used to treat dental hypersensiti</w:t>
      </w:r>
      <w:r w:rsidR="001F4E82" w:rsidRPr="00B57098">
        <w:rPr>
          <w:rFonts w:asciiTheme="minorBidi" w:hAnsiTheme="minorBidi"/>
          <w:szCs w:val="28"/>
        </w:rPr>
        <w:t>vity: a systematic review. Quin</w:t>
      </w:r>
      <w:r w:rsidRPr="00B57098">
        <w:rPr>
          <w:rFonts w:asciiTheme="minorBidi" w:hAnsiTheme="minorBidi"/>
          <w:szCs w:val="28"/>
        </w:rPr>
        <w:t>tessence Int. 2013</w:t>
      </w:r>
      <w:r w:rsidR="00B57098" w:rsidRPr="00B57098">
        <w:rPr>
          <w:rFonts w:asciiTheme="minorBidi" w:hAnsiTheme="minorBidi"/>
          <w:szCs w:val="28"/>
        </w:rPr>
        <w:t>; 44</w:t>
      </w:r>
      <w:r w:rsidRPr="00B57098">
        <w:rPr>
          <w:rFonts w:asciiTheme="minorBidi" w:hAnsiTheme="minorBidi"/>
          <w:szCs w:val="28"/>
        </w:rPr>
        <w:t>(7):535-46. doi:10.3290/j.qi.a29610</w:t>
      </w:r>
      <w:r w:rsidR="001F4E82" w:rsidRPr="00B57098">
        <w:rPr>
          <w:rFonts w:asciiTheme="minorBidi" w:hAnsiTheme="minorBidi"/>
          <w:szCs w:val="28"/>
        </w:rPr>
        <w:t>.</w:t>
      </w:r>
    </w:p>
    <w:p w:rsidR="0059783A" w:rsidRPr="00B57098" w:rsidRDefault="0059783A" w:rsidP="006D0300">
      <w:pPr>
        <w:ind w:left="720"/>
        <w:jc w:val="left"/>
        <w:rPr>
          <w:rFonts w:asciiTheme="minorBidi" w:hAnsiTheme="minorBidi"/>
          <w:b/>
          <w:bCs/>
          <w:szCs w:val="28"/>
        </w:rPr>
      </w:pPr>
      <w:r w:rsidRPr="00B57098">
        <w:rPr>
          <w:rFonts w:asciiTheme="minorBidi" w:hAnsiTheme="minorBidi"/>
          <w:b/>
          <w:bCs/>
          <w:szCs w:val="28"/>
        </w:rPr>
        <w:t>S</w:t>
      </w:r>
    </w:p>
    <w:p w:rsidR="0059783A" w:rsidRPr="00B57098" w:rsidRDefault="0059783A" w:rsidP="0059783A">
      <w:pPr>
        <w:pStyle w:val="ListParagraph"/>
        <w:numPr>
          <w:ilvl w:val="0"/>
          <w:numId w:val="18"/>
        </w:numPr>
        <w:rPr>
          <w:rFonts w:asciiTheme="minorBidi" w:hAnsiTheme="minorBidi"/>
          <w:b/>
          <w:bCs/>
          <w:szCs w:val="28"/>
        </w:rPr>
      </w:pPr>
      <w:r w:rsidRPr="00B57098">
        <w:rPr>
          <w:rFonts w:asciiTheme="minorBidi" w:hAnsiTheme="minorBidi"/>
          <w:szCs w:val="28"/>
        </w:rPr>
        <w:t>Shiau, H.J., Dentin hypersensitivity. J Evid Based Dent Pract, 2012. 12(3 Suppl): p. 220-8.</w:t>
      </w:r>
    </w:p>
    <w:p w:rsidR="0082693E" w:rsidRPr="00B57098" w:rsidRDefault="0082693E" w:rsidP="0082693E">
      <w:pPr>
        <w:pStyle w:val="ListParagraph"/>
        <w:numPr>
          <w:ilvl w:val="0"/>
          <w:numId w:val="18"/>
        </w:numPr>
        <w:rPr>
          <w:rFonts w:asciiTheme="minorBidi" w:hAnsiTheme="minorBidi"/>
          <w:szCs w:val="28"/>
        </w:rPr>
      </w:pPr>
      <w:r w:rsidRPr="00B57098">
        <w:rPr>
          <w:rFonts w:asciiTheme="minorBidi" w:hAnsiTheme="minorBidi"/>
          <w:szCs w:val="28"/>
        </w:rPr>
        <w:t>Scherman, A., &amp; Jacobsen, P. L. (1992). Managing dentin hypersensitivity: what treatment to recommend to patients. </w:t>
      </w:r>
      <w:r w:rsidRPr="00B57098">
        <w:rPr>
          <w:rFonts w:asciiTheme="minorBidi" w:hAnsiTheme="minorBidi"/>
          <w:i/>
          <w:iCs/>
          <w:szCs w:val="28"/>
        </w:rPr>
        <w:t>The Journal of the American Dental Association</w:t>
      </w:r>
      <w:r w:rsidRPr="00B57098">
        <w:rPr>
          <w:rFonts w:asciiTheme="minorBidi" w:hAnsiTheme="minorBidi"/>
          <w:szCs w:val="28"/>
        </w:rPr>
        <w:t>, </w:t>
      </w:r>
      <w:r w:rsidRPr="00B57098">
        <w:rPr>
          <w:rFonts w:asciiTheme="minorBidi" w:hAnsiTheme="minorBidi"/>
          <w:i/>
          <w:iCs/>
          <w:szCs w:val="28"/>
        </w:rPr>
        <w:t>123</w:t>
      </w:r>
      <w:r w:rsidRPr="00B57098">
        <w:rPr>
          <w:rFonts w:asciiTheme="minorBidi" w:hAnsiTheme="minorBidi"/>
          <w:szCs w:val="28"/>
        </w:rPr>
        <w:t>(4), 57-61.</w:t>
      </w:r>
      <w:r w:rsidRPr="00B57098">
        <w:rPr>
          <w:rFonts w:asciiTheme="minorBidi" w:hAnsiTheme="minorBidi"/>
          <w:szCs w:val="28"/>
          <w:rtl/>
        </w:rPr>
        <w:t>‏</w:t>
      </w:r>
    </w:p>
    <w:p w:rsidR="00493F97" w:rsidRPr="00B57098" w:rsidRDefault="00C050EF" w:rsidP="00493F97">
      <w:pPr>
        <w:pStyle w:val="ListParagraph"/>
        <w:numPr>
          <w:ilvl w:val="0"/>
          <w:numId w:val="18"/>
        </w:numPr>
        <w:rPr>
          <w:rFonts w:asciiTheme="minorBidi" w:hAnsiTheme="minorBidi"/>
          <w:szCs w:val="28"/>
        </w:rPr>
      </w:pPr>
      <w:r w:rsidRPr="00B57098">
        <w:rPr>
          <w:rFonts w:asciiTheme="minorBidi" w:hAnsiTheme="minorBidi"/>
          <w:szCs w:val="28"/>
        </w:rPr>
        <w:t>Shiau, H. J. (2012). Dentin hypersensitivity. </w:t>
      </w:r>
      <w:r w:rsidRPr="00B57098">
        <w:rPr>
          <w:rFonts w:asciiTheme="minorBidi" w:hAnsiTheme="minorBidi"/>
          <w:i/>
          <w:iCs/>
          <w:szCs w:val="28"/>
        </w:rPr>
        <w:t>Journal of Evidence Based Dental Practice</w:t>
      </w:r>
      <w:r w:rsidRPr="00B57098">
        <w:rPr>
          <w:rFonts w:asciiTheme="minorBidi" w:hAnsiTheme="minorBidi"/>
          <w:szCs w:val="28"/>
        </w:rPr>
        <w:t>, </w:t>
      </w:r>
      <w:r w:rsidRPr="00B57098">
        <w:rPr>
          <w:rFonts w:asciiTheme="minorBidi" w:hAnsiTheme="minorBidi"/>
          <w:i/>
          <w:iCs/>
          <w:szCs w:val="28"/>
        </w:rPr>
        <w:t>12</w:t>
      </w:r>
      <w:r w:rsidRPr="00B57098">
        <w:rPr>
          <w:rFonts w:asciiTheme="minorBidi" w:hAnsiTheme="minorBidi"/>
          <w:szCs w:val="28"/>
        </w:rPr>
        <w:t>(3), 220-228.</w:t>
      </w:r>
      <w:r w:rsidRPr="00B57098">
        <w:rPr>
          <w:rFonts w:asciiTheme="minorBidi" w:hAnsiTheme="minorBidi"/>
          <w:szCs w:val="28"/>
          <w:rtl/>
        </w:rPr>
        <w:t>‏</w:t>
      </w:r>
    </w:p>
    <w:p w:rsidR="008342D0" w:rsidRPr="00B57098" w:rsidRDefault="008342D0" w:rsidP="008342D0">
      <w:pPr>
        <w:pStyle w:val="ListParagraph"/>
        <w:numPr>
          <w:ilvl w:val="0"/>
          <w:numId w:val="18"/>
        </w:numPr>
        <w:rPr>
          <w:rFonts w:asciiTheme="minorBidi" w:hAnsiTheme="minorBidi"/>
          <w:szCs w:val="28"/>
        </w:rPr>
      </w:pPr>
      <w:r w:rsidRPr="00B57098">
        <w:rPr>
          <w:rFonts w:asciiTheme="minorBidi" w:hAnsiTheme="minorBidi"/>
          <w:szCs w:val="28"/>
        </w:rPr>
        <w:t>Scheffel, D. L. S., Soares, D. G., Basso, F. G., de Souza Costa, C. A., Pashley, D., &amp; Hebling, J. (2015). Transdentinal cytotoxicity of glutaraldehyde on odontoblast-like cells. </w:t>
      </w:r>
      <w:r w:rsidRPr="00B57098">
        <w:rPr>
          <w:rFonts w:asciiTheme="minorBidi" w:hAnsiTheme="minorBidi"/>
          <w:i/>
          <w:iCs/>
          <w:szCs w:val="28"/>
        </w:rPr>
        <w:t>Journal of dentistry</w:t>
      </w:r>
      <w:r w:rsidRPr="00B57098">
        <w:rPr>
          <w:rFonts w:asciiTheme="minorBidi" w:hAnsiTheme="minorBidi"/>
          <w:szCs w:val="28"/>
        </w:rPr>
        <w:t>, </w:t>
      </w:r>
      <w:r w:rsidRPr="00B57098">
        <w:rPr>
          <w:rFonts w:asciiTheme="minorBidi" w:hAnsiTheme="minorBidi"/>
          <w:i/>
          <w:iCs/>
          <w:szCs w:val="28"/>
        </w:rPr>
        <w:t>43</w:t>
      </w:r>
      <w:r w:rsidRPr="00B57098">
        <w:rPr>
          <w:rFonts w:asciiTheme="minorBidi" w:hAnsiTheme="minorBidi"/>
          <w:szCs w:val="28"/>
        </w:rPr>
        <w:t>(8), 997-1006.</w:t>
      </w:r>
      <w:r w:rsidRPr="00B57098">
        <w:rPr>
          <w:rFonts w:asciiTheme="minorBidi" w:hAnsiTheme="minorBidi"/>
          <w:szCs w:val="28"/>
          <w:rtl/>
        </w:rPr>
        <w:t>‏</w:t>
      </w:r>
    </w:p>
    <w:p w:rsidR="00493F97" w:rsidRPr="00B57098" w:rsidRDefault="00493F97" w:rsidP="00493F97">
      <w:pPr>
        <w:pStyle w:val="ListParagraph"/>
        <w:numPr>
          <w:ilvl w:val="0"/>
          <w:numId w:val="18"/>
        </w:numPr>
        <w:rPr>
          <w:rFonts w:asciiTheme="minorBidi" w:hAnsiTheme="minorBidi"/>
          <w:szCs w:val="28"/>
        </w:rPr>
      </w:pPr>
      <w:r w:rsidRPr="00B57098">
        <w:rPr>
          <w:rFonts w:asciiTheme="minorBidi" w:hAnsiTheme="minorBidi"/>
          <w:szCs w:val="28"/>
        </w:rPr>
        <w:t>Sen, S., &amp; Sen, S. (2020). Ozone therapy a new vista in dentistry: integrated review. </w:t>
      </w:r>
      <w:r w:rsidRPr="00B57098">
        <w:rPr>
          <w:rFonts w:asciiTheme="minorBidi" w:hAnsiTheme="minorBidi"/>
          <w:i/>
          <w:iCs/>
          <w:szCs w:val="28"/>
        </w:rPr>
        <w:t>Medical Gas Research</w:t>
      </w:r>
      <w:r w:rsidRPr="00B57098">
        <w:rPr>
          <w:rFonts w:asciiTheme="minorBidi" w:hAnsiTheme="minorBidi"/>
          <w:szCs w:val="28"/>
        </w:rPr>
        <w:t>, </w:t>
      </w:r>
      <w:r w:rsidRPr="00B57098">
        <w:rPr>
          <w:rFonts w:asciiTheme="minorBidi" w:hAnsiTheme="minorBidi"/>
          <w:i/>
          <w:iCs/>
          <w:szCs w:val="28"/>
        </w:rPr>
        <w:t>10</w:t>
      </w:r>
      <w:r w:rsidRPr="00B57098">
        <w:rPr>
          <w:rFonts w:asciiTheme="minorBidi" w:hAnsiTheme="minorBidi"/>
          <w:szCs w:val="28"/>
        </w:rPr>
        <w:t>(4), 189.</w:t>
      </w:r>
      <w:r w:rsidRPr="00B57098">
        <w:rPr>
          <w:rFonts w:asciiTheme="minorBidi" w:hAnsiTheme="minorBidi"/>
          <w:szCs w:val="28"/>
          <w:rtl/>
        </w:rPr>
        <w:t>‏</w:t>
      </w:r>
    </w:p>
    <w:p w:rsidR="00131DF1" w:rsidRPr="00B57098" w:rsidRDefault="00131DF1" w:rsidP="00131DF1">
      <w:pPr>
        <w:pStyle w:val="ListParagraph"/>
        <w:numPr>
          <w:ilvl w:val="0"/>
          <w:numId w:val="18"/>
        </w:numPr>
        <w:rPr>
          <w:rFonts w:asciiTheme="minorBidi" w:hAnsiTheme="minorBidi"/>
          <w:szCs w:val="28"/>
        </w:rPr>
      </w:pPr>
      <w:r w:rsidRPr="00B57098">
        <w:rPr>
          <w:rFonts w:asciiTheme="minorBidi" w:hAnsiTheme="minorBidi"/>
          <w:szCs w:val="28"/>
        </w:rPr>
        <w:t>Schwarz F, Arweiler N, Georg T, Reich E. Desensitizing effects of an Er:YAG laser on hypersensitive dentineA controlled, prospective clinical study. J Clin Periodontol. 2002</w:t>
      </w:r>
      <w:r w:rsidR="00B57098" w:rsidRPr="00B57098">
        <w:rPr>
          <w:rFonts w:asciiTheme="minorBidi" w:hAnsiTheme="minorBidi"/>
          <w:szCs w:val="28"/>
        </w:rPr>
        <w:t>; 29:211</w:t>
      </w:r>
      <w:r w:rsidRPr="00B57098">
        <w:rPr>
          <w:rFonts w:asciiTheme="minorBidi" w:hAnsiTheme="minorBidi"/>
          <w:szCs w:val="28"/>
        </w:rPr>
        <w:t>–215.</w:t>
      </w:r>
    </w:p>
    <w:p w:rsidR="00253AE7" w:rsidRPr="00B57098" w:rsidRDefault="00253AE7" w:rsidP="006D0300">
      <w:pPr>
        <w:jc w:val="left"/>
        <w:rPr>
          <w:rFonts w:asciiTheme="minorBidi" w:hAnsiTheme="minorBidi"/>
          <w:b/>
          <w:bCs/>
          <w:szCs w:val="28"/>
        </w:rPr>
      </w:pPr>
      <w:r w:rsidRPr="00B57098">
        <w:rPr>
          <w:rFonts w:asciiTheme="minorBidi" w:hAnsiTheme="minorBidi"/>
          <w:b/>
          <w:bCs/>
          <w:szCs w:val="28"/>
        </w:rPr>
        <w:t xml:space="preserve">          T</w:t>
      </w:r>
    </w:p>
    <w:p w:rsidR="00253AE7" w:rsidRPr="00B57098" w:rsidRDefault="00253AE7" w:rsidP="00253AE7">
      <w:pPr>
        <w:pStyle w:val="ListParagraph"/>
        <w:numPr>
          <w:ilvl w:val="0"/>
          <w:numId w:val="18"/>
        </w:numPr>
        <w:jc w:val="left"/>
        <w:rPr>
          <w:rFonts w:asciiTheme="minorBidi" w:hAnsiTheme="minorBidi"/>
          <w:szCs w:val="28"/>
        </w:rPr>
      </w:pPr>
      <w:r w:rsidRPr="00B57098">
        <w:rPr>
          <w:rFonts w:asciiTheme="minorBidi" w:hAnsiTheme="minorBidi"/>
          <w:szCs w:val="28"/>
        </w:rPr>
        <w:t>Taani, D. Quteish, and Fatin Awartani. "Prevalence and distribution of dentin hypersensitivity and plaque in a dental hospital population." </w:t>
      </w:r>
      <w:r w:rsidRPr="00B57098">
        <w:rPr>
          <w:rFonts w:asciiTheme="minorBidi" w:hAnsiTheme="minorBidi"/>
          <w:i/>
          <w:iCs/>
          <w:szCs w:val="28"/>
        </w:rPr>
        <w:t>Quintessence International</w:t>
      </w:r>
      <w:r w:rsidRPr="00B57098">
        <w:rPr>
          <w:rFonts w:asciiTheme="minorBidi" w:hAnsiTheme="minorBidi"/>
          <w:szCs w:val="28"/>
        </w:rPr>
        <w:t> 32.5 (2001).</w:t>
      </w:r>
      <w:r w:rsidRPr="00B57098">
        <w:rPr>
          <w:rFonts w:asciiTheme="minorBidi" w:hAnsiTheme="minorBidi"/>
          <w:szCs w:val="28"/>
          <w:rtl/>
        </w:rPr>
        <w:t>‏</w:t>
      </w:r>
    </w:p>
    <w:p w:rsidR="008A3B33" w:rsidRPr="00B57098" w:rsidRDefault="008A3B33" w:rsidP="008A3B33">
      <w:pPr>
        <w:pStyle w:val="ListParagraph"/>
        <w:numPr>
          <w:ilvl w:val="0"/>
          <w:numId w:val="18"/>
        </w:numPr>
        <w:jc w:val="left"/>
        <w:rPr>
          <w:rFonts w:asciiTheme="minorBidi" w:hAnsiTheme="minorBidi"/>
          <w:szCs w:val="28"/>
        </w:rPr>
      </w:pPr>
      <w:r w:rsidRPr="00B57098">
        <w:rPr>
          <w:rFonts w:asciiTheme="minorBidi" w:hAnsiTheme="minorBidi"/>
          <w:szCs w:val="28"/>
        </w:rPr>
        <w:t>Toledano-Osorio, M., Osorio, R., Osorio, E., Medina-Castillo, A. L., &amp; Toledano, M. (2021). Novel Pastes Containing Polymeric Nanoparticles for Dentin Hypersensitivity Treatment: An In Vitro Study. </w:t>
      </w:r>
      <w:r w:rsidRPr="00B57098">
        <w:rPr>
          <w:rFonts w:asciiTheme="minorBidi" w:hAnsiTheme="minorBidi"/>
          <w:i/>
          <w:iCs/>
          <w:szCs w:val="28"/>
        </w:rPr>
        <w:t>Nanomaterials</w:t>
      </w:r>
      <w:r w:rsidRPr="00B57098">
        <w:rPr>
          <w:rFonts w:asciiTheme="minorBidi" w:hAnsiTheme="minorBidi"/>
          <w:szCs w:val="28"/>
        </w:rPr>
        <w:t>, </w:t>
      </w:r>
      <w:r w:rsidRPr="00B57098">
        <w:rPr>
          <w:rFonts w:asciiTheme="minorBidi" w:hAnsiTheme="minorBidi"/>
          <w:i/>
          <w:iCs/>
          <w:szCs w:val="28"/>
        </w:rPr>
        <w:t>11</w:t>
      </w:r>
      <w:r w:rsidRPr="00B57098">
        <w:rPr>
          <w:rFonts w:asciiTheme="minorBidi" w:hAnsiTheme="minorBidi"/>
          <w:szCs w:val="28"/>
        </w:rPr>
        <w:t>(11), 3150.</w:t>
      </w:r>
      <w:r w:rsidRPr="00B57098">
        <w:rPr>
          <w:rFonts w:asciiTheme="minorBidi" w:hAnsiTheme="minorBidi"/>
          <w:szCs w:val="28"/>
          <w:rtl/>
        </w:rPr>
        <w:t>‏</w:t>
      </w:r>
    </w:p>
    <w:p w:rsidR="000E7192" w:rsidRPr="00B57098" w:rsidRDefault="000E7192" w:rsidP="006D0300">
      <w:pPr>
        <w:jc w:val="left"/>
        <w:rPr>
          <w:rFonts w:asciiTheme="minorBidi" w:hAnsiTheme="minorBidi"/>
          <w:b/>
          <w:bCs/>
          <w:szCs w:val="28"/>
        </w:rPr>
      </w:pPr>
      <w:r w:rsidRPr="00B57098">
        <w:rPr>
          <w:rFonts w:asciiTheme="minorBidi" w:hAnsiTheme="minorBidi"/>
          <w:b/>
          <w:bCs/>
          <w:szCs w:val="28"/>
        </w:rPr>
        <w:t xml:space="preserve">         V</w:t>
      </w:r>
    </w:p>
    <w:p w:rsidR="000E7192" w:rsidRPr="00B57098" w:rsidRDefault="000E7192" w:rsidP="00B57098">
      <w:pPr>
        <w:pStyle w:val="ListParagraph"/>
        <w:numPr>
          <w:ilvl w:val="0"/>
          <w:numId w:val="18"/>
        </w:numPr>
        <w:jc w:val="left"/>
        <w:rPr>
          <w:rFonts w:asciiTheme="minorBidi" w:hAnsiTheme="minorBidi"/>
          <w:szCs w:val="28"/>
        </w:rPr>
      </w:pPr>
      <w:r w:rsidRPr="00B57098">
        <w:rPr>
          <w:rFonts w:asciiTheme="minorBidi" w:hAnsiTheme="minorBidi"/>
          <w:szCs w:val="28"/>
        </w:rPr>
        <w:t>Veitz-Keenan, A., Barna, J. A., Strober, B., Matthew</w:t>
      </w:r>
      <w:r w:rsidR="00B57098">
        <w:rPr>
          <w:rFonts w:asciiTheme="minorBidi" w:hAnsiTheme="minorBidi"/>
          <w:szCs w:val="28"/>
        </w:rPr>
        <w:t xml:space="preserve">s, A. G., Collie, D., Vena, D. </w:t>
      </w:r>
      <w:r w:rsidRPr="00B57098">
        <w:rPr>
          <w:rFonts w:asciiTheme="minorBidi" w:hAnsiTheme="minorBidi"/>
          <w:szCs w:val="28"/>
        </w:rPr>
        <w:t>&amp; Thompson, V. P. (2013). Treatments for hypersensitive noncarious cervical lesions: a Practitioners Engaged in Applied Research and Learning (PEARL) Network randomized clinical effectiveness study. </w:t>
      </w:r>
      <w:r w:rsidRPr="00B57098">
        <w:rPr>
          <w:rFonts w:asciiTheme="minorBidi" w:hAnsiTheme="minorBidi"/>
          <w:i/>
          <w:iCs/>
          <w:szCs w:val="28"/>
        </w:rPr>
        <w:t>The Journal of the American Dental Association</w:t>
      </w:r>
      <w:r w:rsidRPr="00B57098">
        <w:rPr>
          <w:rFonts w:asciiTheme="minorBidi" w:hAnsiTheme="minorBidi"/>
          <w:szCs w:val="28"/>
        </w:rPr>
        <w:t>, </w:t>
      </w:r>
      <w:r w:rsidRPr="00B57098">
        <w:rPr>
          <w:rFonts w:asciiTheme="minorBidi" w:hAnsiTheme="minorBidi"/>
          <w:i/>
          <w:iCs/>
          <w:szCs w:val="28"/>
        </w:rPr>
        <w:t>144</w:t>
      </w:r>
      <w:r w:rsidRPr="00B57098">
        <w:rPr>
          <w:rFonts w:asciiTheme="minorBidi" w:hAnsiTheme="minorBidi"/>
          <w:szCs w:val="28"/>
        </w:rPr>
        <w:t>(5), 495-506.</w:t>
      </w:r>
      <w:r w:rsidRPr="00B57098">
        <w:rPr>
          <w:rFonts w:asciiTheme="minorBidi" w:hAnsiTheme="minorBidi"/>
          <w:szCs w:val="28"/>
          <w:rtl/>
        </w:rPr>
        <w:t>‏</w:t>
      </w:r>
    </w:p>
    <w:p w:rsidR="0059783A" w:rsidRPr="00B57098" w:rsidRDefault="0059783A" w:rsidP="006D0300">
      <w:pPr>
        <w:ind w:left="720"/>
        <w:rPr>
          <w:rFonts w:asciiTheme="minorBidi" w:hAnsiTheme="minorBidi"/>
          <w:b/>
          <w:bCs/>
          <w:szCs w:val="28"/>
        </w:rPr>
      </w:pPr>
      <w:r w:rsidRPr="00B57098">
        <w:rPr>
          <w:rFonts w:asciiTheme="minorBidi" w:hAnsiTheme="minorBidi"/>
          <w:b/>
          <w:bCs/>
          <w:szCs w:val="28"/>
        </w:rPr>
        <w:t>W</w:t>
      </w:r>
    </w:p>
    <w:p w:rsidR="0059783A" w:rsidRPr="00B57098" w:rsidRDefault="0059783A" w:rsidP="0059783A">
      <w:pPr>
        <w:pStyle w:val="ListParagraph"/>
        <w:numPr>
          <w:ilvl w:val="0"/>
          <w:numId w:val="18"/>
        </w:numPr>
        <w:spacing w:after="160"/>
        <w:rPr>
          <w:rFonts w:asciiTheme="minorBidi" w:hAnsiTheme="minorBidi"/>
          <w:szCs w:val="28"/>
        </w:rPr>
      </w:pPr>
      <w:r w:rsidRPr="00B57098">
        <w:rPr>
          <w:rFonts w:asciiTheme="minorBidi" w:hAnsiTheme="minorBidi"/>
          <w:szCs w:val="28"/>
        </w:rPr>
        <w:t>Wang, Y., et al., The prevalence of dentine hypersensitivity in the general population in China. J Oral Rehabil, 2012. 39(11): p. 812-20.</w:t>
      </w:r>
    </w:p>
    <w:p w:rsidR="005D1B7A" w:rsidRPr="00B57098" w:rsidRDefault="005D1B7A" w:rsidP="005D1B7A">
      <w:pPr>
        <w:pStyle w:val="ListParagraph"/>
        <w:numPr>
          <w:ilvl w:val="0"/>
          <w:numId w:val="18"/>
        </w:numPr>
        <w:spacing w:after="160"/>
        <w:rPr>
          <w:rFonts w:asciiTheme="minorBidi" w:hAnsiTheme="minorBidi"/>
          <w:szCs w:val="28"/>
        </w:rPr>
      </w:pPr>
      <w:r w:rsidRPr="00B57098">
        <w:rPr>
          <w:rFonts w:asciiTheme="minorBidi" w:hAnsiTheme="minorBidi"/>
          <w:szCs w:val="28"/>
        </w:rPr>
        <w:t>West, N. X., Sanz, M., Lussi, A., Bartlett, D., Bouchard, P., &amp; Bourgeois, D. (2013). Prevalence of dentine hypersensitivity and study of associated factors: a European population-based cross-sectional study. </w:t>
      </w:r>
      <w:r w:rsidRPr="00B57098">
        <w:rPr>
          <w:rFonts w:asciiTheme="minorBidi" w:hAnsiTheme="minorBidi"/>
          <w:i/>
          <w:iCs/>
          <w:szCs w:val="28"/>
        </w:rPr>
        <w:t>Journal of dentistry</w:t>
      </w:r>
      <w:r w:rsidRPr="00B57098">
        <w:rPr>
          <w:rFonts w:asciiTheme="minorBidi" w:hAnsiTheme="minorBidi"/>
          <w:szCs w:val="28"/>
        </w:rPr>
        <w:t>, </w:t>
      </w:r>
      <w:r w:rsidRPr="00B57098">
        <w:rPr>
          <w:rFonts w:asciiTheme="minorBidi" w:hAnsiTheme="minorBidi"/>
          <w:i/>
          <w:iCs/>
          <w:szCs w:val="28"/>
        </w:rPr>
        <w:t>41</w:t>
      </w:r>
      <w:r w:rsidRPr="00B57098">
        <w:rPr>
          <w:rFonts w:asciiTheme="minorBidi" w:hAnsiTheme="minorBidi"/>
          <w:szCs w:val="28"/>
        </w:rPr>
        <w:t>(10), 841-851.</w:t>
      </w:r>
      <w:r w:rsidRPr="00B57098">
        <w:rPr>
          <w:rFonts w:asciiTheme="minorBidi" w:hAnsiTheme="minorBidi"/>
          <w:szCs w:val="28"/>
          <w:rtl/>
        </w:rPr>
        <w:t>‏</w:t>
      </w:r>
    </w:p>
    <w:p w:rsidR="0059783A" w:rsidRPr="00B57098" w:rsidRDefault="0059783A" w:rsidP="0059783A">
      <w:pPr>
        <w:pStyle w:val="ListParagraph"/>
        <w:numPr>
          <w:ilvl w:val="0"/>
          <w:numId w:val="18"/>
        </w:numPr>
        <w:rPr>
          <w:rFonts w:asciiTheme="minorBidi" w:hAnsiTheme="minorBidi"/>
          <w:b/>
          <w:bCs/>
          <w:szCs w:val="28"/>
        </w:rPr>
      </w:pPr>
      <w:r w:rsidRPr="00B57098">
        <w:rPr>
          <w:rFonts w:asciiTheme="minorBidi" w:hAnsiTheme="minorBidi"/>
          <w:szCs w:val="28"/>
        </w:rPr>
        <w:t>West NX. Dentine hypersensitivity: preventive and therapeutic approaches to treatment. Periodontol 2000. 2008; 48: 31-41</w:t>
      </w:r>
      <w:r w:rsidR="001323C7" w:rsidRPr="00B57098">
        <w:rPr>
          <w:rFonts w:asciiTheme="minorBidi" w:hAnsiTheme="minorBidi"/>
          <w:szCs w:val="28"/>
        </w:rPr>
        <w:t>.</w:t>
      </w:r>
    </w:p>
    <w:p w:rsidR="001323C7" w:rsidRPr="00B57098" w:rsidRDefault="001323C7" w:rsidP="00B57098">
      <w:pPr>
        <w:pStyle w:val="ListParagraph"/>
        <w:numPr>
          <w:ilvl w:val="0"/>
          <w:numId w:val="18"/>
        </w:numPr>
        <w:rPr>
          <w:rFonts w:asciiTheme="minorBidi" w:hAnsiTheme="minorBidi"/>
          <w:szCs w:val="28"/>
        </w:rPr>
      </w:pPr>
      <w:r w:rsidRPr="00B57098">
        <w:rPr>
          <w:rFonts w:asciiTheme="minorBidi" w:hAnsiTheme="minorBidi"/>
          <w:szCs w:val="28"/>
        </w:rPr>
        <w:t>West, N. X., Addy, M., Newcombe, R., Macdonal</w:t>
      </w:r>
      <w:r w:rsidR="00B57098">
        <w:rPr>
          <w:rFonts w:asciiTheme="minorBidi" w:hAnsiTheme="minorBidi"/>
          <w:szCs w:val="28"/>
        </w:rPr>
        <w:t xml:space="preserve">d, E., Chapman, A., Davies, M. </w:t>
      </w:r>
      <w:r w:rsidRPr="00B57098">
        <w:rPr>
          <w:rFonts w:asciiTheme="minorBidi" w:hAnsiTheme="minorBidi"/>
          <w:szCs w:val="28"/>
        </w:rPr>
        <w:t>&amp; Claydon, N. (2012). A randomised crossover trial to compare the potential of stannous fluoride and essential oil mouth rinses to induce tooth and tongue staining. </w:t>
      </w:r>
      <w:r w:rsidRPr="00B57098">
        <w:rPr>
          <w:rFonts w:asciiTheme="minorBidi" w:hAnsiTheme="minorBidi"/>
          <w:i/>
          <w:iCs/>
          <w:szCs w:val="28"/>
        </w:rPr>
        <w:t>Clinical oral investigations</w:t>
      </w:r>
      <w:r w:rsidRPr="00B57098">
        <w:rPr>
          <w:rFonts w:asciiTheme="minorBidi" w:hAnsiTheme="minorBidi"/>
          <w:szCs w:val="28"/>
        </w:rPr>
        <w:t>, </w:t>
      </w:r>
      <w:r w:rsidRPr="00B57098">
        <w:rPr>
          <w:rFonts w:asciiTheme="minorBidi" w:hAnsiTheme="minorBidi"/>
          <w:i/>
          <w:iCs/>
          <w:szCs w:val="28"/>
        </w:rPr>
        <w:t>16</w:t>
      </w:r>
      <w:r w:rsidRPr="00B57098">
        <w:rPr>
          <w:rFonts w:asciiTheme="minorBidi" w:hAnsiTheme="minorBidi"/>
          <w:szCs w:val="28"/>
        </w:rPr>
        <w:t>(3), 821-826.</w:t>
      </w:r>
      <w:r w:rsidRPr="00B57098">
        <w:rPr>
          <w:rFonts w:asciiTheme="minorBidi" w:hAnsiTheme="minorBidi"/>
          <w:szCs w:val="28"/>
          <w:rtl/>
        </w:rPr>
        <w:t>‏</w:t>
      </w:r>
    </w:p>
    <w:p w:rsidR="00CF6F94" w:rsidRPr="00B57098" w:rsidRDefault="00CF6F94" w:rsidP="00CF6F94">
      <w:pPr>
        <w:pStyle w:val="ListParagraph"/>
        <w:numPr>
          <w:ilvl w:val="0"/>
          <w:numId w:val="18"/>
        </w:numPr>
        <w:rPr>
          <w:rFonts w:asciiTheme="minorBidi" w:hAnsiTheme="minorBidi"/>
          <w:szCs w:val="28"/>
        </w:rPr>
      </w:pPr>
      <w:r w:rsidRPr="00B57098">
        <w:rPr>
          <w:rFonts w:asciiTheme="minorBidi" w:hAnsiTheme="minorBidi"/>
          <w:szCs w:val="28"/>
        </w:rPr>
        <w:t>Wang L, Magalhães AC, Francisconi-Dos-Rios LF, et al Treatment of dentin hypersensitivity using nano hydroxyapatite pastes: a randomized three-month clinical trial. Oper Dent 2016;41(4):E93-101.</w:t>
      </w:r>
    </w:p>
    <w:p w:rsidR="00131DF1" w:rsidRPr="00B57098" w:rsidRDefault="00131DF1" w:rsidP="00131DF1">
      <w:pPr>
        <w:pStyle w:val="ListParagraph"/>
        <w:numPr>
          <w:ilvl w:val="0"/>
          <w:numId w:val="18"/>
        </w:numPr>
        <w:rPr>
          <w:rFonts w:asciiTheme="minorBidi" w:hAnsiTheme="minorBidi"/>
          <w:szCs w:val="28"/>
        </w:rPr>
      </w:pPr>
      <w:r w:rsidRPr="00B57098">
        <w:rPr>
          <w:rFonts w:asciiTheme="minorBidi" w:hAnsiTheme="minorBidi"/>
          <w:szCs w:val="28"/>
        </w:rPr>
        <w:t>Whitters, C. J., Hall, A., Creanor, S. L., Moseley, H., Gilmour, W. H., Strang, R., Saunders, W. P. &amp; Orchardson, R. A clinical study of pulsed Nd:YAG laser induced pulpal analgesia. Journal of Dentistry (1995) 23: 145–150.</w:t>
      </w:r>
    </w:p>
    <w:p w:rsidR="00131DF1" w:rsidRPr="00B57098" w:rsidRDefault="00131DF1" w:rsidP="006D0300">
      <w:pPr>
        <w:jc w:val="left"/>
        <w:rPr>
          <w:rFonts w:asciiTheme="minorBidi" w:hAnsiTheme="minorBidi"/>
          <w:b/>
          <w:bCs/>
          <w:szCs w:val="28"/>
        </w:rPr>
      </w:pPr>
      <w:r w:rsidRPr="00B57098">
        <w:rPr>
          <w:rFonts w:asciiTheme="minorBidi" w:hAnsiTheme="minorBidi"/>
          <w:b/>
          <w:bCs/>
          <w:szCs w:val="28"/>
        </w:rPr>
        <w:t xml:space="preserve">            Y</w:t>
      </w:r>
    </w:p>
    <w:p w:rsidR="00131DF1" w:rsidRPr="00B57098" w:rsidRDefault="00131DF1" w:rsidP="00B57098">
      <w:pPr>
        <w:pStyle w:val="ListParagraph"/>
        <w:numPr>
          <w:ilvl w:val="0"/>
          <w:numId w:val="21"/>
        </w:numPr>
        <w:rPr>
          <w:rFonts w:asciiTheme="minorBidi" w:hAnsiTheme="minorBidi"/>
          <w:szCs w:val="28"/>
        </w:rPr>
      </w:pPr>
      <w:r w:rsidRPr="00B57098">
        <w:rPr>
          <w:rFonts w:asciiTheme="minorBidi" w:hAnsiTheme="minorBidi"/>
          <w:szCs w:val="28"/>
        </w:rPr>
        <w:t>Yilmaz HG, Cengiz E, Kurtulmus-Yilmaz S, Leblebicioglu B. Effectiveness of Er,Cr:YSGG laser on dentine hypersensitivity: a controlled clinical trial. J Clin Periodontol. 2011</w:t>
      </w:r>
      <w:r w:rsidR="00B57098" w:rsidRPr="00B57098">
        <w:rPr>
          <w:rFonts w:asciiTheme="minorBidi" w:hAnsiTheme="minorBidi"/>
          <w:szCs w:val="28"/>
        </w:rPr>
        <w:t>; 38:341</w:t>
      </w:r>
      <w:r w:rsidRPr="00B57098">
        <w:rPr>
          <w:rFonts w:asciiTheme="minorBidi" w:hAnsiTheme="minorBidi"/>
          <w:szCs w:val="28"/>
        </w:rPr>
        <w:t>–346.</w:t>
      </w:r>
    </w:p>
    <w:p w:rsidR="00637304" w:rsidRPr="00B57098" w:rsidRDefault="00637304" w:rsidP="00B57098">
      <w:pPr>
        <w:pStyle w:val="ListParagraph"/>
        <w:numPr>
          <w:ilvl w:val="0"/>
          <w:numId w:val="21"/>
        </w:numPr>
        <w:rPr>
          <w:rFonts w:asciiTheme="minorBidi" w:hAnsiTheme="minorBidi"/>
          <w:szCs w:val="28"/>
        </w:rPr>
      </w:pPr>
      <w:r w:rsidRPr="00B57098">
        <w:rPr>
          <w:rFonts w:asciiTheme="minorBidi" w:hAnsiTheme="minorBidi"/>
          <w:szCs w:val="28"/>
        </w:rPr>
        <w:t>Yoshiyama, M., Noiri, Y., Ozaki, K., Uchida, A., Ishikawa, Y., &amp; Ishida, H. (1990). Transmission electron microscopic characterization of hypersensitive human radicular dentin. </w:t>
      </w:r>
      <w:r w:rsidRPr="00B57098">
        <w:rPr>
          <w:rFonts w:asciiTheme="minorBidi" w:hAnsiTheme="minorBidi"/>
          <w:i/>
          <w:iCs/>
          <w:szCs w:val="28"/>
        </w:rPr>
        <w:t>Journal of dental research</w:t>
      </w:r>
      <w:r w:rsidRPr="00B57098">
        <w:rPr>
          <w:rFonts w:asciiTheme="minorBidi" w:hAnsiTheme="minorBidi"/>
          <w:szCs w:val="28"/>
        </w:rPr>
        <w:t>, </w:t>
      </w:r>
      <w:r w:rsidRPr="00B57098">
        <w:rPr>
          <w:rFonts w:asciiTheme="minorBidi" w:hAnsiTheme="minorBidi"/>
          <w:i/>
          <w:iCs/>
          <w:szCs w:val="28"/>
        </w:rPr>
        <w:t>69</w:t>
      </w:r>
      <w:r w:rsidRPr="00B57098">
        <w:rPr>
          <w:rFonts w:asciiTheme="minorBidi" w:hAnsiTheme="minorBidi"/>
          <w:szCs w:val="28"/>
        </w:rPr>
        <w:t>(6), 1293-1297.</w:t>
      </w:r>
      <w:r w:rsidRPr="00B57098">
        <w:rPr>
          <w:rFonts w:asciiTheme="minorBidi" w:hAnsiTheme="minorBidi"/>
          <w:szCs w:val="28"/>
          <w:rtl/>
        </w:rPr>
        <w:t>‏</w:t>
      </w:r>
    </w:p>
    <w:p w:rsidR="005B237E" w:rsidRPr="00B57098" w:rsidRDefault="005B237E" w:rsidP="00B57098">
      <w:pPr>
        <w:pStyle w:val="ListParagraph"/>
        <w:numPr>
          <w:ilvl w:val="0"/>
          <w:numId w:val="21"/>
        </w:numPr>
        <w:rPr>
          <w:rFonts w:asciiTheme="minorBidi" w:hAnsiTheme="minorBidi"/>
          <w:szCs w:val="28"/>
        </w:rPr>
      </w:pPr>
      <w:r w:rsidRPr="00B57098">
        <w:rPr>
          <w:rFonts w:asciiTheme="minorBidi" w:hAnsiTheme="minorBidi"/>
          <w:szCs w:val="28"/>
        </w:rPr>
        <w:t>Yadav, B. K., Jain, A., Rai, A., &amp; Jain, M. (2015). Dentine hypersensitivity: a review of its management strategies. </w:t>
      </w:r>
      <w:r w:rsidRPr="00B57098">
        <w:rPr>
          <w:rFonts w:asciiTheme="minorBidi" w:hAnsiTheme="minorBidi"/>
          <w:i/>
          <w:iCs/>
          <w:szCs w:val="28"/>
        </w:rPr>
        <w:t>Journal of International Oral Health</w:t>
      </w:r>
      <w:r w:rsidRPr="00B57098">
        <w:rPr>
          <w:rFonts w:asciiTheme="minorBidi" w:hAnsiTheme="minorBidi"/>
          <w:szCs w:val="28"/>
        </w:rPr>
        <w:t>, </w:t>
      </w:r>
      <w:r w:rsidRPr="00B57098">
        <w:rPr>
          <w:rFonts w:asciiTheme="minorBidi" w:hAnsiTheme="minorBidi"/>
          <w:i/>
          <w:iCs/>
          <w:szCs w:val="28"/>
        </w:rPr>
        <w:t>7</w:t>
      </w:r>
      <w:r w:rsidRPr="00B57098">
        <w:rPr>
          <w:rFonts w:asciiTheme="minorBidi" w:hAnsiTheme="minorBidi"/>
          <w:szCs w:val="28"/>
        </w:rPr>
        <w:t>(10), 137.</w:t>
      </w:r>
      <w:r w:rsidRPr="00B57098">
        <w:rPr>
          <w:rFonts w:asciiTheme="minorBidi" w:hAnsiTheme="minorBidi"/>
          <w:szCs w:val="28"/>
          <w:rtl/>
        </w:rPr>
        <w:t>‏</w:t>
      </w:r>
    </w:p>
    <w:p w:rsidR="001F4E82" w:rsidRPr="00B57098" w:rsidRDefault="001F4E82" w:rsidP="00B57098">
      <w:pPr>
        <w:pStyle w:val="ListParagraph"/>
        <w:numPr>
          <w:ilvl w:val="0"/>
          <w:numId w:val="21"/>
        </w:numPr>
        <w:rPr>
          <w:rFonts w:asciiTheme="minorBidi" w:hAnsiTheme="minorBidi"/>
          <w:szCs w:val="28"/>
        </w:rPr>
      </w:pPr>
      <w:r w:rsidRPr="00B57098">
        <w:rPr>
          <w:rFonts w:asciiTheme="minorBidi" w:hAnsiTheme="minorBidi"/>
          <w:szCs w:val="28"/>
        </w:rPr>
        <w:t>Yan Z, Sidhu SK, Mahmoud GA, Carrick TE, McCabe JF. Effects of temperature on the fluoride release and recharging ability of glass ionomers. Oper Dent.2007</w:t>
      </w:r>
      <w:r w:rsidR="00B57098" w:rsidRPr="00B57098">
        <w:rPr>
          <w:rFonts w:asciiTheme="minorBidi" w:hAnsiTheme="minorBidi"/>
          <w:szCs w:val="28"/>
        </w:rPr>
        <w:t>; 32</w:t>
      </w:r>
      <w:r w:rsidRPr="00B57098">
        <w:rPr>
          <w:rFonts w:asciiTheme="minorBidi" w:hAnsiTheme="minorBidi"/>
          <w:szCs w:val="28"/>
        </w:rPr>
        <w:t>(2): 138-43. doi:10.2341/06-36</w:t>
      </w:r>
    </w:p>
    <w:p w:rsidR="0012659A" w:rsidRPr="00B57098" w:rsidRDefault="0012659A" w:rsidP="00B57098">
      <w:pPr>
        <w:pStyle w:val="ListParagraph"/>
        <w:numPr>
          <w:ilvl w:val="0"/>
          <w:numId w:val="21"/>
        </w:numPr>
        <w:rPr>
          <w:rFonts w:asciiTheme="minorBidi" w:hAnsiTheme="minorBidi"/>
          <w:szCs w:val="28"/>
        </w:rPr>
      </w:pPr>
      <w:r w:rsidRPr="00B57098">
        <w:rPr>
          <w:rFonts w:asciiTheme="minorBidi" w:hAnsiTheme="minorBidi"/>
          <w:szCs w:val="28"/>
        </w:rPr>
        <w:t>Yilmaz HG, Kurtulmus-Yilmaz S, Cengiz E, Bayindir H, Aykac Y. Clinical evaluation of Er, Cr: YSGG and GaAlAs laser therapy for treating dentine hypersensitivity: a randomized controlled clinical trial. J Dent 2011</w:t>
      </w:r>
      <w:r w:rsidR="00B57098" w:rsidRPr="00B57098">
        <w:rPr>
          <w:rFonts w:asciiTheme="minorBidi" w:hAnsiTheme="minorBidi"/>
          <w:szCs w:val="28"/>
        </w:rPr>
        <w:t>; 39</w:t>
      </w:r>
      <w:r w:rsidRPr="00B57098">
        <w:rPr>
          <w:rFonts w:asciiTheme="minorBidi" w:hAnsiTheme="minorBidi"/>
          <w:szCs w:val="28"/>
        </w:rPr>
        <w:t>(3):249-54.</w:t>
      </w:r>
    </w:p>
    <w:p w:rsidR="0059783A" w:rsidRPr="00B57098" w:rsidRDefault="0059783A" w:rsidP="00B57098">
      <w:pPr>
        <w:ind w:left="720"/>
        <w:rPr>
          <w:rFonts w:asciiTheme="minorBidi" w:hAnsiTheme="minorBidi"/>
          <w:b/>
          <w:bCs/>
          <w:sz w:val="32"/>
          <w:szCs w:val="32"/>
        </w:rPr>
      </w:pPr>
    </w:p>
    <w:p w:rsidR="00185D5B" w:rsidRPr="00B57098" w:rsidRDefault="00185D5B" w:rsidP="00B57098">
      <w:pPr>
        <w:rPr>
          <w:rFonts w:asciiTheme="minorBidi" w:hAnsiTheme="minorBidi"/>
          <w:szCs w:val="28"/>
        </w:rPr>
      </w:pPr>
    </w:p>
    <w:sectPr w:rsidR="00185D5B" w:rsidRPr="00B57098" w:rsidSect="00C7200E">
      <w:footerReference w:type="default" r:id="rId1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7C0F" w:rsidRDefault="00F97C0F" w:rsidP="009C705D">
      <w:pPr>
        <w:spacing w:after="0" w:line="240" w:lineRule="auto"/>
      </w:pPr>
      <w:r>
        <w:separator/>
      </w:r>
    </w:p>
  </w:endnote>
  <w:endnote w:type="continuationSeparator" w:id="0">
    <w:p w:rsidR="00F97C0F" w:rsidRDefault="00F97C0F" w:rsidP="009C70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5061025"/>
      <w:docPartObj>
        <w:docPartGallery w:val="Page Numbers (Bottom of Page)"/>
        <w:docPartUnique/>
      </w:docPartObj>
    </w:sdtPr>
    <w:sdtEndPr>
      <w:rPr>
        <w:noProof/>
      </w:rPr>
    </w:sdtEndPr>
    <w:sdtContent>
      <w:p w:rsidR="00E74588" w:rsidRDefault="00E74588">
        <w:pPr>
          <w:pStyle w:val="Footer"/>
          <w:jc w:val="center"/>
        </w:pPr>
        <w:r>
          <w:fldChar w:fldCharType="begin"/>
        </w:r>
        <w:r>
          <w:instrText xml:space="preserve"> PAGE   \* MERGEFORMAT </w:instrText>
        </w:r>
        <w:r>
          <w:fldChar w:fldCharType="separate"/>
        </w:r>
        <w:r w:rsidR="00311DA9">
          <w:rPr>
            <w:noProof/>
          </w:rPr>
          <w:t>2</w:t>
        </w:r>
        <w:r>
          <w:rPr>
            <w:noProof/>
          </w:rPr>
          <w:fldChar w:fldCharType="end"/>
        </w:r>
      </w:p>
    </w:sdtContent>
  </w:sdt>
  <w:p w:rsidR="00E74588" w:rsidRDefault="00E74588" w:rsidP="000F1F6F">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7C0F" w:rsidRDefault="00F97C0F" w:rsidP="009C705D">
      <w:pPr>
        <w:spacing w:after="0" w:line="240" w:lineRule="auto"/>
      </w:pPr>
      <w:r>
        <w:separator/>
      </w:r>
    </w:p>
  </w:footnote>
  <w:footnote w:type="continuationSeparator" w:id="0">
    <w:p w:rsidR="00F97C0F" w:rsidRDefault="00F97C0F" w:rsidP="009C70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059CA"/>
    <w:multiLevelType w:val="multilevel"/>
    <w:tmpl w:val="B76E78D4"/>
    <w:lvl w:ilvl="0">
      <w:start w:val="1"/>
      <w:numFmt w:val="decimal"/>
      <w:lvlText w:val="%1."/>
      <w:lvlJc w:val="left"/>
      <w:pPr>
        <w:ind w:left="2880" w:hanging="720"/>
      </w:pPr>
      <w:rPr>
        <w:rFonts w:hint="default"/>
        <w:sz w:val="32"/>
        <w:szCs w:val="32"/>
      </w:rPr>
    </w:lvl>
    <w:lvl w:ilvl="1">
      <w:start w:val="1"/>
      <w:numFmt w:val="decimal"/>
      <w:isLgl/>
      <w:lvlText w:val="%1.%2."/>
      <w:lvlJc w:val="left"/>
      <w:pPr>
        <w:ind w:left="2970" w:hanging="720"/>
      </w:pPr>
      <w:rPr>
        <w:rFonts w:hint="default"/>
        <w:b/>
      </w:rPr>
    </w:lvl>
    <w:lvl w:ilvl="2">
      <w:start w:val="1"/>
      <w:numFmt w:val="upperLetter"/>
      <w:isLgl/>
      <w:lvlText w:val="%1.%2.%3."/>
      <w:lvlJc w:val="left"/>
      <w:pPr>
        <w:ind w:left="2880" w:hanging="720"/>
      </w:pPr>
      <w:rPr>
        <w:rFonts w:hint="default"/>
        <w:b/>
      </w:rPr>
    </w:lvl>
    <w:lvl w:ilvl="3">
      <w:start w:val="1"/>
      <w:numFmt w:val="decimal"/>
      <w:isLgl/>
      <w:lvlText w:val="%1.%2.%3.%4."/>
      <w:lvlJc w:val="left"/>
      <w:pPr>
        <w:ind w:left="3240" w:hanging="1080"/>
      </w:pPr>
      <w:rPr>
        <w:rFonts w:hint="default"/>
        <w:b/>
      </w:rPr>
    </w:lvl>
    <w:lvl w:ilvl="4">
      <w:start w:val="1"/>
      <w:numFmt w:val="decimal"/>
      <w:isLgl/>
      <w:lvlText w:val="%1.%2.%3.%4.%5."/>
      <w:lvlJc w:val="left"/>
      <w:pPr>
        <w:ind w:left="3240" w:hanging="108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3960" w:hanging="1800"/>
      </w:pPr>
      <w:rPr>
        <w:rFonts w:hint="default"/>
        <w:b/>
      </w:rPr>
    </w:lvl>
    <w:lvl w:ilvl="7">
      <w:start w:val="1"/>
      <w:numFmt w:val="decimal"/>
      <w:isLgl/>
      <w:lvlText w:val="%1.%2.%3.%4.%5.%6.%7.%8."/>
      <w:lvlJc w:val="left"/>
      <w:pPr>
        <w:ind w:left="3960" w:hanging="1800"/>
      </w:pPr>
      <w:rPr>
        <w:rFonts w:hint="default"/>
        <w:b/>
      </w:rPr>
    </w:lvl>
    <w:lvl w:ilvl="8">
      <w:start w:val="1"/>
      <w:numFmt w:val="decimal"/>
      <w:isLgl/>
      <w:lvlText w:val="%1.%2.%3.%4.%5.%6.%7.%8.%9."/>
      <w:lvlJc w:val="left"/>
      <w:pPr>
        <w:ind w:left="4320" w:hanging="2160"/>
      </w:pPr>
      <w:rPr>
        <w:rFonts w:hint="default"/>
        <w:b/>
      </w:rPr>
    </w:lvl>
  </w:abstractNum>
  <w:abstractNum w:abstractNumId="1" w15:restartNumberingAfterBreak="0">
    <w:nsid w:val="089917B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D0B0356"/>
    <w:multiLevelType w:val="hybridMultilevel"/>
    <w:tmpl w:val="ACC6B8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AD6427"/>
    <w:multiLevelType w:val="hybridMultilevel"/>
    <w:tmpl w:val="B6E06886"/>
    <w:lvl w:ilvl="0" w:tplc="0CBAC08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714481"/>
    <w:multiLevelType w:val="hybridMultilevel"/>
    <w:tmpl w:val="97A62F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663176"/>
    <w:multiLevelType w:val="multilevel"/>
    <w:tmpl w:val="724A1298"/>
    <w:lvl w:ilvl="0">
      <w:start w:val="4"/>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7D667AE"/>
    <w:multiLevelType w:val="hybridMultilevel"/>
    <w:tmpl w:val="F1120918"/>
    <w:lvl w:ilvl="0" w:tplc="97EE1FD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CE27C0"/>
    <w:multiLevelType w:val="hybridMultilevel"/>
    <w:tmpl w:val="19705936"/>
    <w:lvl w:ilvl="0" w:tplc="62E2ED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C157B1"/>
    <w:multiLevelType w:val="hybridMultilevel"/>
    <w:tmpl w:val="F5BA6852"/>
    <w:lvl w:ilvl="0" w:tplc="A2BA5C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5456C5"/>
    <w:multiLevelType w:val="hybridMultilevel"/>
    <w:tmpl w:val="E76840AC"/>
    <w:lvl w:ilvl="0" w:tplc="A9A4867C">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A07179"/>
    <w:multiLevelType w:val="multilevel"/>
    <w:tmpl w:val="717891A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390A6A65"/>
    <w:multiLevelType w:val="hybridMultilevel"/>
    <w:tmpl w:val="CCA0AD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8B6204"/>
    <w:multiLevelType w:val="hybridMultilevel"/>
    <w:tmpl w:val="DE0891F4"/>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23F1FA7"/>
    <w:multiLevelType w:val="hybridMultilevel"/>
    <w:tmpl w:val="B73E5DE4"/>
    <w:lvl w:ilvl="0" w:tplc="8982B88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2C40C9F"/>
    <w:multiLevelType w:val="hybridMultilevel"/>
    <w:tmpl w:val="E4FE89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CA7DEB"/>
    <w:multiLevelType w:val="hybridMultilevel"/>
    <w:tmpl w:val="EBF4A6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7C7B29"/>
    <w:multiLevelType w:val="hybridMultilevel"/>
    <w:tmpl w:val="AE545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A04BF9"/>
    <w:multiLevelType w:val="hybridMultilevel"/>
    <w:tmpl w:val="AB2E6F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DBA7EA7"/>
    <w:multiLevelType w:val="multilevel"/>
    <w:tmpl w:val="93860D4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6B783197"/>
    <w:multiLevelType w:val="hybridMultilevel"/>
    <w:tmpl w:val="751420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09656A"/>
    <w:multiLevelType w:val="hybridMultilevel"/>
    <w:tmpl w:val="9A82F1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7A6426"/>
    <w:multiLevelType w:val="hybridMultilevel"/>
    <w:tmpl w:val="AF54C4B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B6F377E"/>
    <w:multiLevelType w:val="hybridMultilevel"/>
    <w:tmpl w:val="547448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1A61F1"/>
    <w:multiLevelType w:val="multilevel"/>
    <w:tmpl w:val="00EA8570"/>
    <w:lvl w:ilvl="0">
      <w:start w:val="1"/>
      <w:numFmt w:val="decimal"/>
      <w:lvlText w:val="%1."/>
      <w:lvlJc w:val="left"/>
      <w:pPr>
        <w:ind w:left="720" w:hanging="360"/>
      </w:pPr>
      <w:rPr>
        <w:rFonts w:hint="default"/>
        <w:sz w:val="36"/>
        <w:szCs w:val="36"/>
      </w:rPr>
    </w:lvl>
    <w:lvl w:ilvl="1">
      <w:start w:val="2"/>
      <w:numFmt w:val="decimal"/>
      <w:isLgl/>
      <w:lvlText w:val="%1.%2"/>
      <w:lvlJc w:val="left"/>
      <w:pPr>
        <w:ind w:left="840" w:hanging="480"/>
      </w:pPr>
      <w:rPr>
        <w:rFonts w:asciiTheme="majorBidi" w:hAnsiTheme="majorBidi" w:cstheme="majorBidi" w:hint="default"/>
        <w:sz w:val="32"/>
      </w:rPr>
    </w:lvl>
    <w:lvl w:ilvl="2">
      <w:start w:val="1"/>
      <w:numFmt w:val="decimal"/>
      <w:isLgl/>
      <w:lvlText w:val="%1.%2.%3"/>
      <w:lvlJc w:val="left"/>
      <w:pPr>
        <w:ind w:left="1080" w:hanging="720"/>
      </w:pPr>
      <w:rPr>
        <w:rFonts w:asciiTheme="majorBidi" w:hAnsiTheme="majorBidi" w:cstheme="majorBidi" w:hint="default"/>
        <w:sz w:val="32"/>
      </w:rPr>
    </w:lvl>
    <w:lvl w:ilvl="3">
      <w:start w:val="1"/>
      <w:numFmt w:val="decimal"/>
      <w:isLgl/>
      <w:lvlText w:val="%1.%2.%3.%4"/>
      <w:lvlJc w:val="left"/>
      <w:pPr>
        <w:ind w:left="1440" w:hanging="1080"/>
      </w:pPr>
      <w:rPr>
        <w:rFonts w:asciiTheme="majorBidi" w:hAnsiTheme="majorBidi" w:cstheme="majorBidi" w:hint="default"/>
        <w:sz w:val="32"/>
      </w:rPr>
    </w:lvl>
    <w:lvl w:ilvl="4">
      <w:start w:val="1"/>
      <w:numFmt w:val="decimal"/>
      <w:isLgl/>
      <w:lvlText w:val="%1.%2.%3.%4.%5"/>
      <w:lvlJc w:val="left"/>
      <w:pPr>
        <w:ind w:left="1440" w:hanging="1080"/>
      </w:pPr>
      <w:rPr>
        <w:rFonts w:asciiTheme="majorBidi" w:hAnsiTheme="majorBidi" w:cstheme="majorBidi" w:hint="default"/>
        <w:sz w:val="32"/>
      </w:rPr>
    </w:lvl>
    <w:lvl w:ilvl="5">
      <w:start w:val="1"/>
      <w:numFmt w:val="decimal"/>
      <w:isLgl/>
      <w:lvlText w:val="%1.%2.%3.%4.%5.%6"/>
      <w:lvlJc w:val="left"/>
      <w:pPr>
        <w:ind w:left="1800" w:hanging="1440"/>
      </w:pPr>
      <w:rPr>
        <w:rFonts w:asciiTheme="majorBidi" w:hAnsiTheme="majorBidi" w:cstheme="majorBidi" w:hint="default"/>
        <w:sz w:val="32"/>
      </w:rPr>
    </w:lvl>
    <w:lvl w:ilvl="6">
      <w:start w:val="1"/>
      <w:numFmt w:val="decimal"/>
      <w:isLgl/>
      <w:lvlText w:val="%1.%2.%3.%4.%5.%6.%7"/>
      <w:lvlJc w:val="left"/>
      <w:pPr>
        <w:ind w:left="1800" w:hanging="1440"/>
      </w:pPr>
      <w:rPr>
        <w:rFonts w:asciiTheme="majorBidi" w:hAnsiTheme="majorBidi" w:cstheme="majorBidi" w:hint="default"/>
        <w:sz w:val="32"/>
      </w:rPr>
    </w:lvl>
    <w:lvl w:ilvl="7">
      <w:start w:val="1"/>
      <w:numFmt w:val="decimal"/>
      <w:isLgl/>
      <w:lvlText w:val="%1.%2.%3.%4.%5.%6.%7.%8"/>
      <w:lvlJc w:val="left"/>
      <w:pPr>
        <w:ind w:left="2160" w:hanging="1800"/>
      </w:pPr>
      <w:rPr>
        <w:rFonts w:asciiTheme="majorBidi" w:hAnsiTheme="majorBidi" w:cstheme="majorBidi" w:hint="default"/>
        <w:sz w:val="32"/>
      </w:rPr>
    </w:lvl>
    <w:lvl w:ilvl="8">
      <w:start w:val="1"/>
      <w:numFmt w:val="decimal"/>
      <w:isLgl/>
      <w:lvlText w:val="%1.%2.%3.%4.%5.%6.%7.%8.%9"/>
      <w:lvlJc w:val="left"/>
      <w:pPr>
        <w:ind w:left="2520" w:hanging="2160"/>
      </w:pPr>
      <w:rPr>
        <w:rFonts w:asciiTheme="majorBidi" w:hAnsiTheme="majorBidi" w:cstheme="majorBidi" w:hint="default"/>
        <w:sz w:val="32"/>
      </w:rPr>
    </w:lvl>
  </w:abstractNum>
  <w:num w:numId="1">
    <w:abstractNumId w:val="0"/>
  </w:num>
  <w:num w:numId="2">
    <w:abstractNumId w:val="7"/>
  </w:num>
  <w:num w:numId="3">
    <w:abstractNumId w:val="8"/>
  </w:num>
  <w:num w:numId="4">
    <w:abstractNumId w:val="23"/>
  </w:num>
  <w:num w:numId="5">
    <w:abstractNumId w:val="1"/>
  </w:num>
  <w:num w:numId="6">
    <w:abstractNumId w:val="18"/>
  </w:num>
  <w:num w:numId="7">
    <w:abstractNumId w:val="10"/>
  </w:num>
  <w:num w:numId="8">
    <w:abstractNumId w:val="21"/>
  </w:num>
  <w:num w:numId="9">
    <w:abstractNumId w:val="5"/>
  </w:num>
  <w:num w:numId="10">
    <w:abstractNumId w:val="17"/>
  </w:num>
  <w:num w:numId="11">
    <w:abstractNumId w:val="9"/>
  </w:num>
  <w:num w:numId="12">
    <w:abstractNumId w:val="3"/>
  </w:num>
  <w:num w:numId="13">
    <w:abstractNumId w:val="6"/>
  </w:num>
  <w:num w:numId="14">
    <w:abstractNumId w:val="13"/>
  </w:num>
  <w:num w:numId="15">
    <w:abstractNumId w:val="19"/>
  </w:num>
  <w:num w:numId="16">
    <w:abstractNumId w:val="16"/>
  </w:num>
  <w:num w:numId="17">
    <w:abstractNumId w:val="4"/>
  </w:num>
  <w:num w:numId="18">
    <w:abstractNumId w:val="12"/>
  </w:num>
  <w:num w:numId="19">
    <w:abstractNumId w:val="15"/>
  </w:num>
  <w:num w:numId="20">
    <w:abstractNumId w:val="2"/>
  </w:num>
  <w:num w:numId="21">
    <w:abstractNumId w:val="11"/>
  </w:num>
  <w:num w:numId="22">
    <w:abstractNumId w:val="20"/>
  </w:num>
  <w:num w:numId="23">
    <w:abstractNumId w:val="14"/>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671"/>
    <w:rsid w:val="00000E7C"/>
    <w:rsid w:val="00007136"/>
    <w:rsid w:val="00036314"/>
    <w:rsid w:val="00041506"/>
    <w:rsid w:val="00042E6A"/>
    <w:rsid w:val="000528E6"/>
    <w:rsid w:val="00061F70"/>
    <w:rsid w:val="00070D5D"/>
    <w:rsid w:val="00092397"/>
    <w:rsid w:val="000A7011"/>
    <w:rsid w:val="000B2AFB"/>
    <w:rsid w:val="000B782F"/>
    <w:rsid w:val="000E7192"/>
    <w:rsid w:val="000F1F6F"/>
    <w:rsid w:val="0010304A"/>
    <w:rsid w:val="0012659A"/>
    <w:rsid w:val="0013038B"/>
    <w:rsid w:val="00131DF1"/>
    <w:rsid w:val="001323C7"/>
    <w:rsid w:val="00152B32"/>
    <w:rsid w:val="00155CC0"/>
    <w:rsid w:val="00164CFE"/>
    <w:rsid w:val="001663EB"/>
    <w:rsid w:val="00170D60"/>
    <w:rsid w:val="00185D5B"/>
    <w:rsid w:val="00191547"/>
    <w:rsid w:val="001B6884"/>
    <w:rsid w:val="001D09CB"/>
    <w:rsid w:val="001D7CCA"/>
    <w:rsid w:val="001F45D1"/>
    <w:rsid w:val="001F4E82"/>
    <w:rsid w:val="00253AE7"/>
    <w:rsid w:val="00263448"/>
    <w:rsid w:val="00274728"/>
    <w:rsid w:val="002815E3"/>
    <w:rsid w:val="00291244"/>
    <w:rsid w:val="0029512F"/>
    <w:rsid w:val="002A23FF"/>
    <w:rsid w:val="002A3246"/>
    <w:rsid w:val="002C0757"/>
    <w:rsid w:val="002D335B"/>
    <w:rsid w:val="002D3908"/>
    <w:rsid w:val="002E3FC4"/>
    <w:rsid w:val="00311DA9"/>
    <w:rsid w:val="003374D0"/>
    <w:rsid w:val="00343937"/>
    <w:rsid w:val="003603FC"/>
    <w:rsid w:val="00373DA1"/>
    <w:rsid w:val="00405AD5"/>
    <w:rsid w:val="00414A42"/>
    <w:rsid w:val="00414E4E"/>
    <w:rsid w:val="0042350A"/>
    <w:rsid w:val="00433573"/>
    <w:rsid w:val="00453CF6"/>
    <w:rsid w:val="0046595C"/>
    <w:rsid w:val="0047324C"/>
    <w:rsid w:val="004901CF"/>
    <w:rsid w:val="00493F97"/>
    <w:rsid w:val="00497B00"/>
    <w:rsid w:val="004A69D3"/>
    <w:rsid w:val="004B5CD8"/>
    <w:rsid w:val="004C2862"/>
    <w:rsid w:val="00505A18"/>
    <w:rsid w:val="00520D9E"/>
    <w:rsid w:val="00574EE0"/>
    <w:rsid w:val="00580AF2"/>
    <w:rsid w:val="0059783A"/>
    <w:rsid w:val="005A37C8"/>
    <w:rsid w:val="005B237E"/>
    <w:rsid w:val="005C1AD2"/>
    <w:rsid w:val="005C65F5"/>
    <w:rsid w:val="005C6A57"/>
    <w:rsid w:val="005D1B7A"/>
    <w:rsid w:val="005E6904"/>
    <w:rsid w:val="006163F9"/>
    <w:rsid w:val="00621194"/>
    <w:rsid w:val="00621398"/>
    <w:rsid w:val="00633C2E"/>
    <w:rsid w:val="00637304"/>
    <w:rsid w:val="00643974"/>
    <w:rsid w:val="00643FBA"/>
    <w:rsid w:val="00653D20"/>
    <w:rsid w:val="00660660"/>
    <w:rsid w:val="006761EB"/>
    <w:rsid w:val="00685690"/>
    <w:rsid w:val="006A3318"/>
    <w:rsid w:val="006A33B2"/>
    <w:rsid w:val="006B38F0"/>
    <w:rsid w:val="006C232C"/>
    <w:rsid w:val="006D0300"/>
    <w:rsid w:val="006D1AFA"/>
    <w:rsid w:val="006F099C"/>
    <w:rsid w:val="006F3079"/>
    <w:rsid w:val="00703AF8"/>
    <w:rsid w:val="00706A92"/>
    <w:rsid w:val="007471C4"/>
    <w:rsid w:val="00756610"/>
    <w:rsid w:val="00756671"/>
    <w:rsid w:val="00765C1C"/>
    <w:rsid w:val="00777EE7"/>
    <w:rsid w:val="00785352"/>
    <w:rsid w:val="00792805"/>
    <w:rsid w:val="007957FB"/>
    <w:rsid w:val="007D2949"/>
    <w:rsid w:val="007E22E8"/>
    <w:rsid w:val="007E3C2E"/>
    <w:rsid w:val="007F4A53"/>
    <w:rsid w:val="007F73CF"/>
    <w:rsid w:val="00812999"/>
    <w:rsid w:val="00813BA9"/>
    <w:rsid w:val="00815886"/>
    <w:rsid w:val="0082693E"/>
    <w:rsid w:val="008342D0"/>
    <w:rsid w:val="008343AE"/>
    <w:rsid w:val="008439AC"/>
    <w:rsid w:val="00870C7C"/>
    <w:rsid w:val="008754EA"/>
    <w:rsid w:val="008A3B33"/>
    <w:rsid w:val="008B3EEB"/>
    <w:rsid w:val="008C274E"/>
    <w:rsid w:val="008E5C6C"/>
    <w:rsid w:val="0091292C"/>
    <w:rsid w:val="009575BE"/>
    <w:rsid w:val="009A5F15"/>
    <w:rsid w:val="009C705D"/>
    <w:rsid w:val="009D5B02"/>
    <w:rsid w:val="009E2195"/>
    <w:rsid w:val="00A64C88"/>
    <w:rsid w:val="00A65FBD"/>
    <w:rsid w:val="00A66D2D"/>
    <w:rsid w:val="00A918E9"/>
    <w:rsid w:val="00A92EA7"/>
    <w:rsid w:val="00AB2A97"/>
    <w:rsid w:val="00AD12FF"/>
    <w:rsid w:val="00AF05ED"/>
    <w:rsid w:val="00AF22A7"/>
    <w:rsid w:val="00B27B98"/>
    <w:rsid w:val="00B57098"/>
    <w:rsid w:val="00BB7C63"/>
    <w:rsid w:val="00BD29D7"/>
    <w:rsid w:val="00BE1818"/>
    <w:rsid w:val="00BE5828"/>
    <w:rsid w:val="00BF2AFA"/>
    <w:rsid w:val="00BF59B6"/>
    <w:rsid w:val="00C00360"/>
    <w:rsid w:val="00C050EF"/>
    <w:rsid w:val="00C13E2B"/>
    <w:rsid w:val="00C61B45"/>
    <w:rsid w:val="00C7200E"/>
    <w:rsid w:val="00C8216C"/>
    <w:rsid w:val="00C91D44"/>
    <w:rsid w:val="00CA04F7"/>
    <w:rsid w:val="00CC1ABD"/>
    <w:rsid w:val="00CC2FC1"/>
    <w:rsid w:val="00CF6F94"/>
    <w:rsid w:val="00CF75FC"/>
    <w:rsid w:val="00D016DE"/>
    <w:rsid w:val="00D11F08"/>
    <w:rsid w:val="00D47E57"/>
    <w:rsid w:val="00D7364C"/>
    <w:rsid w:val="00D81648"/>
    <w:rsid w:val="00D9478D"/>
    <w:rsid w:val="00DA1A78"/>
    <w:rsid w:val="00DC10B1"/>
    <w:rsid w:val="00DE086C"/>
    <w:rsid w:val="00DE377F"/>
    <w:rsid w:val="00DF5D90"/>
    <w:rsid w:val="00E00C12"/>
    <w:rsid w:val="00E379B2"/>
    <w:rsid w:val="00E6757B"/>
    <w:rsid w:val="00E74588"/>
    <w:rsid w:val="00E74627"/>
    <w:rsid w:val="00E80485"/>
    <w:rsid w:val="00EB373D"/>
    <w:rsid w:val="00EE486D"/>
    <w:rsid w:val="00EE4D8B"/>
    <w:rsid w:val="00F24875"/>
    <w:rsid w:val="00F33EFD"/>
    <w:rsid w:val="00F410A8"/>
    <w:rsid w:val="00F51BD7"/>
    <w:rsid w:val="00F5514E"/>
    <w:rsid w:val="00F5559E"/>
    <w:rsid w:val="00F97C0F"/>
    <w:rsid w:val="00FA05F6"/>
    <w:rsid w:val="00FA7B47"/>
    <w:rsid w:val="00FB03A6"/>
    <w:rsid w:val="00FB36FA"/>
    <w:rsid w:val="00FD6FC6"/>
    <w:rsid w:val="00FF1D9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DD507B0-9284-4D54-B133-009FDF05A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757B"/>
    <w:pPr>
      <w:spacing w:after="120" w:line="360" w:lineRule="auto"/>
      <w:jc w:val="both"/>
    </w:pPr>
    <w:rPr>
      <w:rFonts w:ascii="Arial" w:hAnsi="Arial"/>
      <w:sz w:val="28"/>
    </w:rPr>
  </w:style>
  <w:style w:type="paragraph" w:styleId="Heading1">
    <w:name w:val="heading 1"/>
    <w:basedOn w:val="Normal"/>
    <w:next w:val="Normal"/>
    <w:link w:val="Heading1Char"/>
    <w:uiPriority w:val="9"/>
    <w:qFormat/>
    <w:rsid w:val="009C705D"/>
    <w:pPr>
      <w:keepNext/>
      <w:keepLines/>
      <w:spacing w:before="240" w:after="0"/>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semiHidden/>
    <w:unhideWhenUsed/>
    <w:qFormat/>
    <w:rsid w:val="00E6757B"/>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1398"/>
    <w:pPr>
      <w:ind w:left="720"/>
      <w:contextualSpacing/>
    </w:pPr>
  </w:style>
  <w:style w:type="paragraph" w:styleId="Caption">
    <w:name w:val="caption"/>
    <w:basedOn w:val="Normal"/>
    <w:next w:val="Normal"/>
    <w:uiPriority w:val="35"/>
    <w:unhideWhenUsed/>
    <w:qFormat/>
    <w:rsid w:val="00CF75FC"/>
    <w:pPr>
      <w:spacing w:after="200" w:line="240" w:lineRule="auto"/>
      <w:jc w:val="center"/>
    </w:pPr>
    <w:rPr>
      <w:iCs/>
      <w:sz w:val="24"/>
      <w:szCs w:val="18"/>
    </w:rPr>
  </w:style>
  <w:style w:type="table" w:styleId="TableGrid">
    <w:name w:val="Table Grid"/>
    <w:basedOn w:val="TableNormal"/>
    <w:uiPriority w:val="39"/>
    <w:rsid w:val="00D47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D47E5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1">
    <w:name w:val="Plain Table 31"/>
    <w:basedOn w:val="TableNormal"/>
    <w:uiPriority w:val="43"/>
    <w:rsid w:val="00D47E5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D47E5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9C705D"/>
    <w:rPr>
      <w:rFonts w:ascii="Arial" w:eastAsiaTheme="majorEastAsia" w:hAnsi="Arial" w:cstheme="majorBidi"/>
      <w:b/>
      <w:color w:val="000000" w:themeColor="text1"/>
      <w:sz w:val="32"/>
      <w:szCs w:val="32"/>
    </w:rPr>
  </w:style>
  <w:style w:type="paragraph" w:styleId="Header">
    <w:name w:val="header"/>
    <w:basedOn w:val="Normal"/>
    <w:link w:val="HeaderChar"/>
    <w:uiPriority w:val="99"/>
    <w:unhideWhenUsed/>
    <w:rsid w:val="009C70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705D"/>
    <w:rPr>
      <w:rFonts w:ascii="Arial" w:hAnsi="Arial"/>
      <w:sz w:val="28"/>
    </w:rPr>
  </w:style>
  <w:style w:type="paragraph" w:styleId="Footer">
    <w:name w:val="footer"/>
    <w:basedOn w:val="Normal"/>
    <w:link w:val="FooterChar"/>
    <w:uiPriority w:val="99"/>
    <w:unhideWhenUsed/>
    <w:rsid w:val="009C70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705D"/>
    <w:rPr>
      <w:rFonts w:ascii="Arial" w:hAnsi="Arial"/>
      <w:sz w:val="28"/>
    </w:rPr>
  </w:style>
  <w:style w:type="paragraph" w:styleId="BalloonText">
    <w:name w:val="Balloon Text"/>
    <w:basedOn w:val="Normal"/>
    <w:link w:val="BalloonTextChar"/>
    <w:uiPriority w:val="99"/>
    <w:semiHidden/>
    <w:unhideWhenUsed/>
    <w:rsid w:val="00E675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757B"/>
    <w:rPr>
      <w:rFonts w:ascii="Tahoma" w:hAnsi="Tahoma" w:cs="Tahoma"/>
      <w:sz w:val="16"/>
      <w:szCs w:val="16"/>
    </w:rPr>
  </w:style>
  <w:style w:type="character" w:customStyle="1" w:styleId="Heading2Char">
    <w:name w:val="Heading 2 Char"/>
    <w:basedOn w:val="DefaultParagraphFont"/>
    <w:link w:val="Heading2"/>
    <w:uiPriority w:val="9"/>
    <w:semiHidden/>
    <w:rsid w:val="00E6757B"/>
    <w:rPr>
      <w:rFonts w:asciiTheme="majorHAnsi" w:eastAsiaTheme="majorEastAsia" w:hAnsiTheme="majorHAnsi" w:cstheme="majorBidi"/>
      <w:b/>
      <w:bCs/>
      <w:color w:val="5B9BD5" w:themeColor="accent1"/>
      <w:sz w:val="26"/>
      <w:szCs w:val="26"/>
    </w:rPr>
  </w:style>
  <w:style w:type="paragraph" w:styleId="BodyText">
    <w:name w:val="Body Text"/>
    <w:basedOn w:val="Normal"/>
    <w:link w:val="BodyTextChar"/>
    <w:uiPriority w:val="1"/>
    <w:qFormat/>
    <w:rsid w:val="00E6757B"/>
    <w:pPr>
      <w:widowControl w:val="0"/>
      <w:autoSpaceDE w:val="0"/>
      <w:autoSpaceDN w:val="0"/>
      <w:spacing w:after="0" w:line="240" w:lineRule="auto"/>
      <w:ind w:left="240"/>
      <w:jc w:val="left"/>
    </w:pPr>
    <w:rPr>
      <w:rFonts w:eastAsia="Arial" w:cs="Arial"/>
      <w:szCs w:val="28"/>
    </w:rPr>
  </w:style>
  <w:style w:type="character" w:customStyle="1" w:styleId="BodyTextChar">
    <w:name w:val="Body Text Char"/>
    <w:basedOn w:val="DefaultParagraphFont"/>
    <w:link w:val="BodyText"/>
    <w:uiPriority w:val="1"/>
    <w:rsid w:val="00E6757B"/>
    <w:rPr>
      <w:rFonts w:ascii="Arial" w:eastAsia="Arial" w:hAnsi="Arial" w:cs="Arial"/>
      <w:sz w:val="28"/>
      <w:szCs w:val="28"/>
    </w:rPr>
  </w:style>
  <w:style w:type="paragraph" w:customStyle="1" w:styleId="TableParagraph">
    <w:name w:val="Table Paragraph"/>
    <w:basedOn w:val="Normal"/>
    <w:uiPriority w:val="1"/>
    <w:qFormat/>
    <w:rsid w:val="00E6757B"/>
    <w:pPr>
      <w:widowControl w:val="0"/>
      <w:autoSpaceDE w:val="0"/>
      <w:autoSpaceDN w:val="0"/>
      <w:spacing w:after="0" w:line="240" w:lineRule="auto"/>
      <w:ind w:left="77"/>
      <w:jc w:val="left"/>
    </w:pPr>
    <w:rPr>
      <w:rFonts w:eastAsia="Arial" w:cs="Arial"/>
      <w:sz w:val="22"/>
    </w:rPr>
  </w:style>
  <w:style w:type="table" w:customStyle="1" w:styleId="GridTable4-Accent41">
    <w:name w:val="Grid Table 4 - Accent 41"/>
    <w:basedOn w:val="TableNormal"/>
    <w:uiPriority w:val="49"/>
    <w:rsid w:val="00E6757B"/>
    <w:pPr>
      <w:widowControl w:val="0"/>
      <w:autoSpaceDE w:val="0"/>
      <w:autoSpaceDN w:val="0"/>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LineNumber">
    <w:name w:val="line number"/>
    <w:basedOn w:val="DefaultParagraphFont"/>
    <w:uiPriority w:val="99"/>
    <w:semiHidden/>
    <w:unhideWhenUsed/>
    <w:rsid w:val="00155CC0"/>
  </w:style>
  <w:style w:type="table" w:styleId="GridTable4-Accent3">
    <w:name w:val="Grid Table 4 Accent 3"/>
    <w:basedOn w:val="TableNormal"/>
    <w:uiPriority w:val="49"/>
    <w:rsid w:val="00BE582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827181">
      <w:bodyDiv w:val="1"/>
      <w:marLeft w:val="0"/>
      <w:marRight w:val="0"/>
      <w:marTop w:val="0"/>
      <w:marBottom w:val="0"/>
      <w:divBdr>
        <w:top w:val="none" w:sz="0" w:space="0" w:color="auto"/>
        <w:left w:val="none" w:sz="0" w:space="0" w:color="auto"/>
        <w:bottom w:val="none" w:sz="0" w:space="0" w:color="auto"/>
        <w:right w:val="none" w:sz="0" w:space="0" w:color="auto"/>
      </w:divBdr>
      <w:divsChild>
        <w:div w:id="206650581">
          <w:marLeft w:val="0"/>
          <w:marRight w:val="0"/>
          <w:marTop w:val="0"/>
          <w:marBottom w:val="0"/>
          <w:divBdr>
            <w:top w:val="none" w:sz="0" w:space="0" w:color="auto"/>
            <w:left w:val="none" w:sz="0" w:space="0" w:color="auto"/>
            <w:bottom w:val="none" w:sz="0" w:space="0" w:color="auto"/>
            <w:right w:val="none" w:sz="0" w:space="0" w:color="auto"/>
          </w:divBdr>
        </w:div>
      </w:divsChild>
    </w:div>
    <w:div w:id="689374335">
      <w:bodyDiv w:val="1"/>
      <w:marLeft w:val="0"/>
      <w:marRight w:val="0"/>
      <w:marTop w:val="0"/>
      <w:marBottom w:val="0"/>
      <w:divBdr>
        <w:top w:val="none" w:sz="0" w:space="0" w:color="auto"/>
        <w:left w:val="none" w:sz="0" w:space="0" w:color="auto"/>
        <w:bottom w:val="none" w:sz="0" w:space="0" w:color="auto"/>
        <w:right w:val="none" w:sz="0" w:space="0" w:color="auto"/>
      </w:divBdr>
      <w:divsChild>
        <w:div w:id="511460001">
          <w:marLeft w:val="0"/>
          <w:marRight w:val="0"/>
          <w:marTop w:val="0"/>
          <w:marBottom w:val="0"/>
          <w:divBdr>
            <w:top w:val="none" w:sz="0" w:space="0" w:color="auto"/>
            <w:left w:val="none" w:sz="0" w:space="0" w:color="auto"/>
            <w:bottom w:val="none" w:sz="0" w:space="0" w:color="auto"/>
            <w:right w:val="none" w:sz="0" w:space="0" w:color="auto"/>
          </w:divBdr>
        </w:div>
      </w:divsChild>
    </w:div>
    <w:div w:id="790171072">
      <w:bodyDiv w:val="1"/>
      <w:marLeft w:val="0"/>
      <w:marRight w:val="0"/>
      <w:marTop w:val="0"/>
      <w:marBottom w:val="0"/>
      <w:divBdr>
        <w:top w:val="none" w:sz="0" w:space="0" w:color="auto"/>
        <w:left w:val="none" w:sz="0" w:space="0" w:color="auto"/>
        <w:bottom w:val="none" w:sz="0" w:space="0" w:color="auto"/>
        <w:right w:val="none" w:sz="0" w:space="0" w:color="auto"/>
      </w:divBdr>
      <w:divsChild>
        <w:div w:id="1407530149">
          <w:marLeft w:val="0"/>
          <w:marRight w:val="0"/>
          <w:marTop w:val="0"/>
          <w:marBottom w:val="0"/>
          <w:divBdr>
            <w:top w:val="none" w:sz="0" w:space="0" w:color="auto"/>
            <w:left w:val="none" w:sz="0" w:space="0" w:color="auto"/>
            <w:bottom w:val="none" w:sz="0" w:space="0" w:color="auto"/>
            <w:right w:val="none" w:sz="0" w:space="0" w:color="auto"/>
          </w:divBdr>
        </w:div>
      </w:divsChild>
    </w:div>
    <w:div w:id="801849456">
      <w:bodyDiv w:val="1"/>
      <w:marLeft w:val="0"/>
      <w:marRight w:val="0"/>
      <w:marTop w:val="0"/>
      <w:marBottom w:val="0"/>
      <w:divBdr>
        <w:top w:val="none" w:sz="0" w:space="0" w:color="auto"/>
        <w:left w:val="none" w:sz="0" w:space="0" w:color="auto"/>
        <w:bottom w:val="none" w:sz="0" w:space="0" w:color="auto"/>
        <w:right w:val="none" w:sz="0" w:space="0" w:color="auto"/>
      </w:divBdr>
      <w:divsChild>
        <w:div w:id="1193375117">
          <w:marLeft w:val="0"/>
          <w:marRight w:val="0"/>
          <w:marTop w:val="0"/>
          <w:marBottom w:val="0"/>
          <w:divBdr>
            <w:top w:val="none" w:sz="0" w:space="0" w:color="auto"/>
            <w:left w:val="none" w:sz="0" w:space="0" w:color="auto"/>
            <w:bottom w:val="none" w:sz="0" w:space="0" w:color="auto"/>
            <w:right w:val="none" w:sz="0" w:space="0" w:color="auto"/>
          </w:divBdr>
        </w:div>
      </w:divsChild>
    </w:div>
    <w:div w:id="1636061704">
      <w:bodyDiv w:val="1"/>
      <w:marLeft w:val="0"/>
      <w:marRight w:val="0"/>
      <w:marTop w:val="0"/>
      <w:marBottom w:val="0"/>
      <w:divBdr>
        <w:top w:val="none" w:sz="0" w:space="0" w:color="auto"/>
        <w:left w:val="none" w:sz="0" w:space="0" w:color="auto"/>
        <w:bottom w:val="none" w:sz="0" w:space="0" w:color="auto"/>
        <w:right w:val="none" w:sz="0" w:space="0" w:color="auto"/>
      </w:divBdr>
      <w:divsChild>
        <w:div w:id="9895281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649BB-2671-4078-B578-BD2308C8A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9497</Words>
  <Characters>54137</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63507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Maher</dc:creator>
  <cp:lastModifiedBy>Microsoft account</cp:lastModifiedBy>
  <cp:revision>2</cp:revision>
  <dcterms:created xsi:type="dcterms:W3CDTF">2023-01-16T11:30:00Z</dcterms:created>
  <dcterms:modified xsi:type="dcterms:W3CDTF">2023-01-16T11:30:00Z</dcterms:modified>
</cp:coreProperties>
</file>